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78" w:rsidRDefault="00EF2678" w:rsidP="00CD5C40">
      <w:pPr>
        <w:jc w:val="center"/>
        <w:rPr>
          <w:b/>
          <w:sz w:val="40"/>
          <w:szCs w:val="40"/>
        </w:rPr>
      </w:pPr>
    </w:p>
    <w:p w:rsidR="00CD5C40" w:rsidRPr="00B51613" w:rsidRDefault="00CD5C40" w:rsidP="00EF2678">
      <w:pPr>
        <w:rPr>
          <w:b/>
          <w:sz w:val="40"/>
          <w:szCs w:val="40"/>
        </w:rPr>
      </w:pPr>
      <w:r w:rsidRPr="00B51613">
        <w:rPr>
          <w:b/>
          <w:sz w:val="40"/>
          <w:szCs w:val="40"/>
        </w:rPr>
        <w:t>P</w:t>
      </w:r>
      <w:r w:rsidR="00EF2678">
        <w:rPr>
          <w:b/>
          <w:sz w:val="40"/>
          <w:szCs w:val="40"/>
        </w:rPr>
        <w:t>rocess for Employer Based Clinical Excellence Awards in the 2013 round</w:t>
      </w:r>
    </w:p>
    <w:p w:rsidR="00CD5C40" w:rsidRDefault="00CD5C40" w:rsidP="00CD5C40">
      <w:pPr>
        <w:rPr>
          <w:sz w:val="40"/>
          <w:szCs w:val="40"/>
        </w:rPr>
      </w:pPr>
    </w:p>
    <w:p w:rsidR="00CD5C40" w:rsidRDefault="00CD5C40" w:rsidP="00CD5C40">
      <w:r>
        <w:t xml:space="preserve">This document sets out the process that will be followed by PHE in relation to applications for </w:t>
      </w:r>
      <w:r w:rsidR="004C59E6">
        <w:t>Employer Based</w:t>
      </w:r>
      <w:r>
        <w:t xml:space="preserve"> Clinical</w:t>
      </w:r>
      <w:r w:rsidR="00EF2678">
        <w:t xml:space="preserve"> Excellence Awards in the 2013 r</w:t>
      </w:r>
      <w:r>
        <w:t xml:space="preserve">ound. </w:t>
      </w:r>
    </w:p>
    <w:p w:rsidR="00CD5C40" w:rsidRDefault="00CD5C40" w:rsidP="00CD5C40"/>
    <w:p w:rsidR="00CD5C40" w:rsidRPr="00CD5C40" w:rsidRDefault="006E5C9C" w:rsidP="00CD5C40">
      <w:r>
        <w:t>Thi</w:t>
      </w:r>
      <w:r w:rsidR="00E22F16">
        <w:t>s process</w:t>
      </w:r>
      <w:r w:rsidR="00CD5C40">
        <w:t xml:space="preserve"> </w:t>
      </w:r>
      <w:r w:rsidR="007261AC">
        <w:t>aim</w:t>
      </w:r>
      <w:r w:rsidR="00E22F16">
        <w:t>s</w:t>
      </w:r>
      <w:r w:rsidR="00CD5C40">
        <w:t xml:space="preserve"> to be ope</w:t>
      </w:r>
      <w:r w:rsidR="00382158">
        <w:t>n, fair and transparent and has</w:t>
      </w:r>
      <w:r w:rsidR="00CD5C40">
        <w:t xml:space="preserve"> been agreed by the Local Negotiating Committee. </w:t>
      </w:r>
      <w:r>
        <w:t>It</w:t>
      </w:r>
      <w:r w:rsidR="007261AC">
        <w:t xml:space="preserve"> </w:t>
      </w:r>
      <w:r w:rsidR="00382158">
        <w:t>is run</w:t>
      </w:r>
      <w:r w:rsidR="007261AC">
        <w:t xml:space="preserve"> </w:t>
      </w:r>
      <w:r w:rsidR="00382158">
        <w:t>under the framework of</w:t>
      </w:r>
      <w:r w:rsidR="007261AC">
        <w:t xml:space="preserve"> the ACCEA Guidance</w:t>
      </w:r>
      <w:r w:rsidR="00EF2678">
        <w:t>,</w:t>
      </w:r>
      <w:r w:rsidR="00B739B8">
        <w:t xml:space="preserve"> which should be read alongside this document by all applicants</w:t>
      </w:r>
      <w:r w:rsidR="007261AC">
        <w:t xml:space="preserve">. Where there are </w:t>
      </w:r>
      <w:r w:rsidR="00382158">
        <w:t>differences in internal process</w:t>
      </w:r>
      <w:r w:rsidR="007261AC">
        <w:t>, this document takes precedence.</w:t>
      </w:r>
    </w:p>
    <w:p w:rsidR="00CD5C40" w:rsidRDefault="00CD5C40" w:rsidP="00CD5C40">
      <w:pPr>
        <w:rPr>
          <w:b/>
        </w:rPr>
      </w:pPr>
    </w:p>
    <w:p w:rsidR="00CD5C40" w:rsidRDefault="00EF2678" w:rsidP="00CD5C40">
      <w:pPr>
        <w:rPr>
          <w:rFonts w:cs="Arial"/>
          <w:b/>
        </w:rPr>
      </w:pPr>
      <w:r>
        <w:rPr>
          <w:rFonts w:cs="Arial"/>
          <w:b/>
        </w:rPr>
        <w:t>The a</w:t>
      </w:r>
      <w:r w:rsidR="00CD5C40">
        <w:rPr>
          <w:rFonts w:cs="Arial"/>
          <w:b/>
        </w:rPr>
        <w:t>wards</w:t>
      </w:r>
    </w:p>
    <w:p w:rsidR="00CD5C40" w:rsidRDefault="00CD5C40" w:rsidP="00CD5C40">
      <w:pPr>
        <w:rPr>
          <w:rFonts w:cs="Arial"/>
          <w:b/>
        </w:rPr>
      </w:pPr>
    </w:p>
    <w:p w:rsidR="00CD5C40" w:rsidRDefault="00CD5C40" w:rsidP="00CD5C40">
      <w:pPr>
        <w:rPr>
          <w:rFonts w:cs="Arial"/>
        </w:rPr>
      </w:pPr>
      <w:r>
        <w:rPr>
          <w:rFonts w:cs="Arial"/>
        </w:rPr>
        <w:t xml:space="preserve">Clinical Excellence Awards (CEA) </w:t>
      </w:r>
      <w:proofErr w:type="gramStart"/>
      <w:r>
        <w:rPr>
          <w:rFonts w:cs="Arial"/>
        </w:rPr>
        <w:t>are</w:t>
      </w:r>
      <w:proofErr w:type="gramEnd"/>
      <w:r>
        <w:rPr>
          <w:rFonts w:cs="Arial"/>
        </w:rPr>
        <w:t xml:space="preserve"> given to recognise and reward contribution to the NHS</w:t>
      </w:r>
      <w:r w:rsidR="00382158">
        <w:rPr>
          <w:rStyle w:val="FootnoteReference"/>
          <w:rFonts w:cs="Arial"/>
        </w:rPr>
        <w:footnoteReference w:id="1"/>
      </w:r>
      <w:r>
        <w:rPr>
          <w:rFonts w:cs="Arial"/>
        </w:rPr>
        <w:t xml:space="preserve"> </w:t>
      </w:r>
      <w:r w:rsidR="00EF2678">
        <w:rPr>
          <w:rFonts w:cs="Arial"/>
        </w:rPr>
        <w:t>that</w:t>
      </w:r>
      <w:r>
        <w:rPr>
          <w:rFonts w:cs="Arial"/>
        </w:rPr>
        <w:t xml:space="preserve"> is </w:t>
      </w:r>
      <w:r w:rsidR="00EF2678">
        <w:rPr>
          <w:rFonts w:cs="Arial"/>
        </w:rPr>
        <w:t>“</w:t>
      </w:r>
      <w:r>
        <w:rPr>
          <w:rFonts w:cs="Arial"/>
        </w:rPr>
        <w:t>over and above</w:t>
      </w:r>
      <w:r w:rsidR="00EF2678">
        <w:rPr>
          <w:rFonts w:cs="Arial"/>
        </w:rPr>
        <w:t>”</w:t>
      </w:r>
      <w:r>
        <w:rPr>
          <w:rFonts w:cs="Arial"/>
        </w:rPr>
        <w:t xml:space="preserve"> that normally expected. They are awarded for quality and excellence, whil</w:t>
      </w:r>
      <w:r w:rsidR="00EF2678">
        <w:rPr>
          <w:rFonts w:cs="Arial"/>
        </w:rPr>
        <w:t>e</w:t>
      </w:r>
      <w:r>
        <w:rPr>
          <w:rFonts w:cs="Arial"/>
        </w:rPr>
        <w:t xml:space="preserve"> quantity of work is rewarded through programmed activity payments. </w:t>
      </w:r>
    </w:p>
    <w:p w:rsidR="00CD5C40" w:rsidRDefault="00CD5C40" w:rsidP="00CD5C40">
      <w:pPr>
        <w:rPr>
          <w:rFonts w:cs="Arial"/>
        </w:rPr>
      </w:pPr>
    </w:p>
    <w:p w:rsidR="00CD5C40" w:rsidRDefault="00CD5C40" w:rsidP="00CD5C40">
      <w:pPr>
        <w:rPr>
          <w:rFonts w:cs="Arial"/>
        </w:rPr>
      </w:pPr>
      <w:r>
        <w:rPr>
          <w:rFonts w:cs="Arial"/>
        </w:rPr>
        <w:t xml:space="preserve">The CEA </w:t>
      </w:r>
      <w:r w:rsidR="00EF2678">
        <w:rPr>
          <w:rFonts w:cs="Arial"/>
        </w:rPr>
        <w:t>s</w:t>
      </w:r>
      <w:r>
        <w:rPr>
          <w:rFonts w:cs="Arial"/>
        </w:rPr>
        <w:t xml:space="preserve">cheme is intended to fully support the NHS. It aims to ensure recognition of exceptional personal contributions made by individual consultants that show a commitment to achieving the delivery of high quality care and service, also to the continuous improvement of the NHS. </w:t>
      </w:r>
    </w:p>
    <w:p w:rsidR="00CD5C40" w:rsidRDefault="00CD5C40" w:rsidP="00CD5C40">
      <w:pPr>
        <w:rPr>
          <w:rFonts w:cs="Arial"/>
        </w:rPr>
      </w:pPr>
    </w:p>
    <w:p w:rsidR="00CD5C40" w:rsidRDefault="004C59E6" w:rsidP="00CD5C40">
      <w:pPr>
        <w:rPr>
          <w:rFonts w:cs="Arial"/>
        </w:rPr>
      </w:pPr>
      <w:r>
        <w:rPr>
          <w:rFonts w:cs="Arial"/>
        </w:rPr>
        <w:t>Employer Based Awards (EBA) are to measure achievement within the parameters of an individual’s employment and recognise excellent service over and above the normal delivery of job plans, including the quality of delivery of contractual duties. In essence EBA are performance related pay awards for consultant medical staff, linked to personal achievements and achievements for the employing organisation. They are funded by the employer.</w:t>
      </w:r>
    </w:p>
    <w:p w:rsidR="00CD5C40" w:rsidRDefault="00CD5C40" w:rsidP="00CD5C40">
      <w:pPr>
        <w:rPr>
          <w:rFonts w:cs="Arial"/>
          <w:b/>
        </w:rPr>
      </w:pPr>
    </w:p>
    <w:p w:rsidR="00CD5C40" w:rsidRPr="00D941C9" w:rsidRDefault="00CD5C40" w:rsidP="00CD5C40">
      <w:pPr>
        <w:rPr>
          <w:rFonts w:cs="Arial"/>
          <w:b/>
        </w:rPr>
      </w:pPr>
      <w:r>
        <w:rPr>
          <w:rFonts w:cs="Arial"/>
          <w:b/>
        </w:rPr>
        <w:t>PHE’s role in administering the awards for 2013</w:t>
      </w:r>
    </w:p>
    <w:p w:rsidR="00CD5C40" w:rsidRDefault="00CD5C40" w:rsidP="00CD5C40">
      <w:pPr>
        <w:rPr>
          <w:rFonts w:cs="Arial"/>
        </w:rPr>
      </w:pPr>
    </w:p>
    <w:p w:rsidR="00CD5C40" w:rsidRDefault="00CD5C40" w:rsidP="00CD5C40">
      <w:pPr>
        <w:rPr>
          <w:rFonts w:cs="Arial"/>
        </w:rPr>
      </w:pPr>
      <w:r>
        <w:rPr>
          <w:rFonts w:cs="Arial"/>
        </w:rPr>
        <w:t xml:space="preserve">PHE will be administering both the local and national parts of the CEA scheme on behalf of all medical and dental consultants employed by us, </w:t>
      </w:r>
      <w:r w:rsidR="00382158">
        <w:rPr>
          <w:rFonts w:cs="Arial"/>
        </w:rPr>
        <w:t xml:space="preserve">and public health consultants employed by </w:t>
      </w:r>
      <w:r>
        <w:rPr>
          <w:rFonts w:cs="Arial"/>
        </w:rPr>
        <w:t xml:space="preserve">local authorities and universities. This involves making recommendations for new ‘employer based’ or </w:t>
      </w:r>
      <w:r w:rsidR="00EF2678">
        <w:rPr>
          <w:rFonts w:cs="Arial"/>
        </w:rPr>
        <w:t>“</w:t>
      </w:r>
      <w:r>
        <w:rPr>
          <w:rFonts w:cs="Arial"/>
        </w:rPr>
        <w:t>local awards</w:t>
      </w:r>
      <w:r w:rsidR="00EF2678">
        <w:rPr>
          <w:rFonts w:cs="Arial"/>
        </w:rPr>
        <w:t>”</w:t>
      </w:r>
      <w:r>
        <w:rPr>
          <w:rFonts w:cs="Arial"/>
        </w:rPr>
        <w:t xml:space="preserve"> as well as ranking applications for national awards which will ultimately be assessed by ACCEA. </w:t>
      </w:r>
    </w:p>
    <w:p w:rsidR="00CD5C40" w:rsidRDefault="00CD5C40" w:rsidP="00CD5C40">
      <w:pPr>
        <w:rPr>
          <w:rFonts w:cs="Arial"/>
        </w:rPr>
      </w:pPr>
    </w:p>
    <w:p w:rsidR="00CD5C40" w:rsidRDefault="00CD5C40" w:rsidP="00CD5C40">
      <w:pPr>
        <w:rPr>
          <w:rFonts w:cs="Arial"/>
        </w:rPr>
      </w:pPr>
      <w:r>
        <w:rPr>
          <w:rFonts w:cs="Arial"/>
        </w:rPr>
        <w:lastRenderedPageBreak/>
        <w:t xml:space="preserve">For the local authorities and the universities this is a supporting role that PHE is undertaking to enable these non NHS bodies to fulfil their statutory obligation to be able to continue this condition of service for their medical consultants affected by the </w:t>
      </w:r>
      <w:r w:rsidR="00382158">
        <w:rPr>
          <w:rFonts w:cs="Arial"/>
        </w:rPr>
        <w:t>H</w:t>
      </w:r>
      <w:r>
        <w:rPr>
          <w:rFonts w:cs="Arial"/>
        </w:rPr>
        <w:t xml:space="preserve">ealth and </w:t>
      </w:r>
      <w:r w:rsidR="00382158">
        <w:rPr>
          <w:rFonts w:cs="Arial"/>
        </w:rPr>
        <w:t>S</w:t>
      </w:r>
      <w:r>
        <w:rPr>
          <w:rFonts w:cs="Arial"/>
        </w:rPr>
        <w:t xml:space="preserve">ocial </w:t>
      </w:r>
      <w:r w:rsidR="00382158">
        <w:rPr>
          <w:rFonts w:cs="Arial"/>
        </w:rPr>
        <w:t>C</w:t>
      </w:r>
      <w:r>
        <w:rPr>
          <w:rFonts w:cs="Arial"/>
        </w:rPr>
        <w:t xml:space="preserve">are </w:t>
      </w:r>
      <w:r w:rsidR="00382158">
        <w:rPr>
          <w:rFonts w:cs="Arial"/>
        </w:rPr>
        <w:t>Act 2012</w:t>
      </w:r>
      <w:r>
        <w:rPr>
          <w:rFonts w:cs="Arial"/>
        </w:rPr>
        <w:t xml:space="preserve">. This also forms part of our professional support to remove barriers for medically qualified public health professionals to move between the NHS, PHE, local government and academia as well as encouraging high professional standards </w:t>
      </w:r>
    </w:p>
    <w:p w:rsidR="004C59E6" w:rsidRDefault="004C59E6" w:rsidP="00CD5C40">
      <w:pPr>
        <w:rPr>
          <w:rFonts w:cs="Arial"/>
        </w:rPr>
      </w:pPr>
    </w:p>
    <w:p w:rsidR="00B51613" w:rsidRDefault="00B51613" w:rsidP="00CD5C40">
      <w:pPr>
        <w:rPr>
          <w:rFonts w:cs="Arial"/>
          <w:b/>
        </w:rPr>
      </w:pPr>
      <w:r>
        <w:rPr>
          <w:rFonts w:cs="Arial"/>
          <w:b/>
        </w:rPr>
        <w:t>EBA funding</w:t>
      </w:r>
    </w:p>
    <w:p w:rsidR="00B51613" w:rsidRDefault="00B51613" w:rsidP="00CD5C40">
      <w:pPr>
        <w:rPr>
          <w:rFonts w:cs="Arial"/>
          <w:b/>
        </w:rPr>
      </w:pPr>
    </w:p>
    <w:p w:rsidR="00B51613" w:rsidRDefault="002E0941" w:rsidP="00CD5C40">
      <w:pPr>
        <w:rPr>
          <w:rFonts w:cs="Arial"/>
        </w:rPr>
      </w:pPr>
      <w:r>
        <w:rPr>
          <w:rFonts w:cs="Arial"/>
        </w:rPr>
        <w:t>EBA cover awards at levels 1</w:t>
      </w:r>
      <w:r w:rsidR="00EF2678">
        <w:rPr>
          <w:rFonts w:cs="Arial"/>
        </w:rPr>
        <w:t>-</w:t>
      </w:r>
      <w:r>
        <w:rPr>
          <w:rFonts w:cs="Arial"/>
        </w:rPr>
        <w:t xml:space="preserve">9. Their values range from £2,957 to £35,484 and are funded by the employer. </w:t>
      </w:r>
    </w:p>
    <w:p w:rsidR="002E0941" w:rsidRDefault="002E0941" w:rsidP="00CD5C40">
      <w:pPr>
        <w:rPr>
          <w:rFonts w:cs="Arial"/>
        </w:rPr>
      </w:pPr>
    </w:p>
    <w:p w:rsidR="002E0941" w:rsidRDefault="002E0941" w:rsidP="00CD5C40">
      <w:pPr>
        <w:rPr>
          <w:rFonts w:cs="Arial"/>
        </w:rPr>
      </w:pPr>
      <w:r>
        <w:rPr>
          <w:rFonts w:cs="Arial"/>
        </w:rPr>
        <w:t>PHE will fund all EBA</w:t>
      </w:r>
      <w:r w:rsidR="00EF2678">
        <w:rPr>
          <w:rFonts w:cs="Arial"/>
        </w:rPr>
        <w:t>,</w:t>
      </w:r>
      <w:r>
        <w:rPr>
          <w:rFonts w:cs="Arial"/>
        </w:rPr>
        <w:t xml:space="preserve"> they award</w:t>
      </w:r>
      <w:r w:rsidR="00EF2678">
        <w:rPr>
          <w:rFonts w:cs="Arial"/>
        </w:rPr>
        <w:t>,</w:t>
      </w:r>
      <w:r>
        <w:rPr>
          <w:rFonts w:cs="Arial"/>
        </w:rPr>
        <w:t xml:space="preserve"> granted in the 2013 </w:t>
      </w:r>
      <w:r w:rsidR="00EF2678">
        <w:rPr>
          <w:rFonts w:cs="Arial"/>
        </w:rPr>
        <w:t>r</w:t>
      </w:r>
      <w:r>
        <w:rPr>
          <w:rFonts w:cs="Arial"/>
        </w:rPr>
        <w:t xml:space="preserve">ound </w:t>
      </w:r>
      <w:r w:rsidR="00A72FF4">
        <w:rPr>
          <w:rFonts w:cs="Arial"/>
        </w:rPr>
        <w:t xml:space="preserve">to </w:t>
      </w:r>
      <w:r>
        <w:rPr>
          <w:rFonts w:cs="Arial"/>
        </w:rPr>
        <w:t>includ</w:t>
      </w:r>
      <w:r w:rsidR="00A72FF4">
        <w:rPr>
          <w:rFonts w:cs="Arial"/>
        </w:rPr>
        <w:t>e</w:t>
      </w:r>
      <w:r>
        <w:rPr>
          <w:rFonts w:cs="Arial"/>
        </w:rPr>
        <w:t xml:space="preserve"> </w:t>
      </w:r>
      <w:proofErr w:type="gramStart"/>
      <w:r>
        <w:rPr>
          <w:rFonts w:cs="Arial"/>
        </w:rPr>
        <w:t>those  consultants</w:t>
      </w:r>
      <w:proofErr w:type="gramEnd"/>
      <w:r>
        <w:rPr>
          <w:rFonts w:cs="Arial"/>
        </w:rPr>
        <w:t xml:space="preserve"> working in universities</w:t>
      </w:r>
      <w:r w:rsidR="00A72FF4">
        <w:rPr>
          <w:rFonts w:cs="Arial"/>
        </w:rPr>
        <w:t xml:space="preserve"> (where there is an agreed liability on PHE) and local authorities</w:t>
      </w:r>
      <w:r>
        <w:rPr>
          <w:rFonts w:cs="Arial"/>
        </w:rPr>
        <w:t xml:space="preserve">. </w:t>
      </w:r>
    </w:p>
    <w:p w:rsidR="002E0941" w:rsidRDefault="002E0941" w:rsidP="00CD5C40">
      <w:pPr>
        <w:rPr>
          <w:rFonts w:cs="Arial"/>
        </w:rPr>
      </w:pPr>
    </w:p>
    <w:p w:rsidR="002E0941" w:rsidRDefault="002E0941" w:rsidP="00CD5C40">
      <w:pPr>
        <w:rPr>
          <w:rFonts w:cs="Arial"/>
          <w:b/>
        </w:rPr>
      </w:pPr>
      <w:r>
        <w:rPr>
          <w:rFonts w:cs="Arial"/>
          <w:b/>
        </w:rPr>
        <w:t xml:space="preserve">Investment </w:t>
      </w:r>
      <w:r w:rsidR="00EF2678">
        <w:rPr>
          <w:rFonts w:cs="Arial"/>
          <w:b/>
        </w:rPr>
        <w:t>c</w:t>
      </w:r>
      <w:r>
        <w:rPr>
          <w:rFonts w:cs="Arial"/>
          <w:b/>
        </w:rPr>
        <w:t>riteria</w:t>
      </w:r>
    </w:p>
    <w:p w:rsidR="002E0941" w:rsidRDefault="002E0941" w:rsidP="00CD5C40">
      <w:pPr>
        <w:rPr>
          <w:rFonts w:cs="Arial"/>
          <w:b/>
        </w:rPr>
      </w:pPr>
    </w:p>
    <w:p w:rsidR="004B6BD7" w:rsidRPr="002E0941" w:rsidRDefault="002E0941" w:rsidP="00CD5C40">
      <w:pPr>
        <w:rPr>
          <w:rFonts w:cs="Arial"/>
        </w:rPr>
      </w:pPr>
      <w:r>
        <w:rPr>
          <w:rFonts w:cs="Arial"/>
        </w:rPr>
        <w:t>PHE will operate under the investment criteria in the ACCEA guidance. That is 0.2 per eligible consultant.</w:t>
      </w:r>
    </w:p>
    <w:p w:rsidR="00B51613" w:rsidRDefault="00B51613" w:rsidP="00CD5C40">
      <w:pPr>
        <w:rPr>
          <w:rFonts w:cs="Arial"/>
        </w:rPr>
      </w:pPr>
    </w:p>
    <w:p w:rsidR="007A5693" w:rsidRDefault="007A5693" w:rsidP="007A5693">
      <w:pPr>
        <w:rPr>
          <w:rFonts w:cs="Arial"/>
          <w:b/>
        </w:rPr>
      </w:pPr>
      <w:r>
        <w:rPr>
          <w:rFonts w:cs="Arial"/>
          <w:b/>
        </w:rPr>
        <w:t>Eligibility</w:t>
      </w:r>
    </w:p>
    <w:p w:rsidR="007A5693" w:rsidRDefault="007A5693" w:rsidP="007A5693">
      <w:pPr>
        <w:rPr>
          <w:rFonts w:cs="Arial"/>
          <w:b/>
        </w:rPr>
      </w:pPr>
    </w:p>
    <w:p w:rsidR="007A5693" w:rsidRDefault="007A5693" w:rsidP="00CD5C40">
      <w:pPr>
        <w:rPr>
          <w:rFonts w:cs="Arial"/>
        </w:rPr>
      </w:pPr>
      <w:r>
        <w:rPr>
          <w:rFonts w:cs="Arial"/>
        </w:rPr>
        <w:t xml:space="preserve">PHE will use the same eligibility criteria described by ACCEA in its guidance. </w:t>
      </w:r>
    </w:p>
    <w:p w:rsidR="007A5693" w:rsidRDefault="007A5693" w:rsidP="00CD5C40">
      <w:pPr>
        <w:rPr>
          <w:rFonts w:cs="Arial"/>
        </w:rPr>
      </w:pPr>
    </w:p>
    <w:p w:rsidR="00B74AED" w:rsidRDefault="00B74AED" w:rsidP="00CD5C40">
      <w:pPr>
        <w:rPr>
          <w:rFonts w:cs="Arial"/>
          <w:b/>
        </w:rPr>
      </w:pPr>
      <w:r w:rsidRPr="00B74AED">
        <w:rPr>
          <w:rFonts w:cs="Arial"/>
          <w:b/>
        </w:rPr>
        <w:t>Application form</w:t>
      </w:r>
    </w:p>
    <w:p w:rsidR="00B74AED" w:rsidRDefault="00B74AED" w:rsidP="00CD5C40">
      <w:pPr>
        <w:rPr>
          <w:rFonts w:cs="Arial"/>
          <w:b/>
        </w:rPr>
      </w:pPr>
    </w:p>
    <w:p w:rsidR="00B74AED" w:rsidRDefault="00B74AED" w:rsidP="00CD5C40">
      <w:pPr>
        <w:rPr>
          <w:rFonts w:cs="Arial"/>
        </w:rPr>
      </w:pPr>
      <w:r>
        <w:rPr>
          <w:rFonts w:cs="Arial"/>
        </w:rPr>
        <w:t>Each section of the application form must be completed and further information on how to do this can be found in the 2013 Guide to Employer Based Awards produced by ACCEA.</w:t>
      </w:r>
    </w:p>
    <w:p w:rsidR="00B74AED" w:rsidRDefault="00B74AED" w:rsidP="00CD5C40">
      <w:pPr>
        <w:rPr>
          <w:rFonts w:cs="Arial"/>
        </w:rPr>
      </w:pPr>
    </w:p>
    <w:p w:rsidR="00B74AED" w:rsidRDefault="00B74AED" w:rsidP="00CD5C40">
      <w:pPr>
        <w:rPr>
          <w:rFonts w:cs="Arial"/>
        </w:rPr>
      </w:pPr>
      <w:r>
        <w:rPr>
          <w:rFonts w:cs="Arial"/>
        </w:rPr>
        <w:t xml:space="preserve">Applicants can choose to complete </w:t>
      </w:r>
      <w:r>
        <w:rPr>
          <w:rFonts w:cs="Arial"/>
          <w:b/>
          <w:i/>
        </w:rPr>
        <w:t>one</w:t>
      </w:r>
      <w:r>
        <w:rPr>
          <w:rFonts w:cs="Arial"/>
        </w:rPr>
        <w:t xml:space="preserve"> extended form for domain </w:t>
      </w:r>
      <w:r w:rsidRPr="00B74AED">
        <w:rPr>
          <w:rFonts w:cs="Arial"/>
          <w:b/>
          <w:i/>
        </w:rPr>
        <w:t>3 or 4 or 5</w:t>
      </w:r>
      <w:r>
        <w:rPr>
          <w:rFonts w:cs="Arial"/>
        </w:rPr>
        <w:t xml:space="preserve"> if they feel they have been particularly active in any of these domains. This is completed instead of the relevant field in the main application form A and must be submitted at the same time as the main application form.</w:t>
      </w:r>
    </w:p>
    <w:p w:rsidR="00B74AED" w:rsidRDefault="00B74AED" w:rsidP="00CD5C40">
      <w:pPr>
        <w:rPr>
          <w:rFonts w:cs="Arial"/>
        </w:rPr>
      </w:pPr>
    </w:p>
    <w:p w:rsidR="00B74AED" w:rsidRDefault="00B74AED" w:rsidP="00CD5C40">
      <w:pPr>
        <w:rPr>
          <w:rFonts w:cs="Arial"/>
          <w:b/>
        </w:rPr>
      </w:pPr>
      <w:r>
        <w:rPr>
          <w:rFonts w:cs="Arial"/>
          <w:b/>
        </w:rPr>
        <w:t>Citations</w:t>
      </w:r>
    </w:p>
    <w:p w:rsidR="00B74AED" w:rsidRDefault="00B74AED" w:rsidP="00CD5C40">
      <w:pPr>
        <w:rPr>
          <w:rFonts w:cs="Arial"/>
          <w:b/>
        </w:rPr>
      </w:pPr>
    </w:p>
    <w:p w:rsidR="00B74AED" w:rsidRPr="00B74AED" w:rsidRDefault="00B74AED" w:rsidP="00CD5C40">
      <w:pPr>
        <w:rPr>
          <w:rFonts w:cs="Arial"/>
        </w:rPr>
      </w:pPr>
      <w:r>
        <w:rPr>
          <w:rFonts w:cs="Arial"/>
        </w:rPr>
        <w:t xml:space="preserve">Citations from external bodies will be accepted. These will need to be submitted to PHE along with your application form. </w:t>
      </w:r>
    </w:p>
    <w:p w:rsidR="00B74AED" w:rsidRDefault="00B74AED" w:rsidP="00CD5C40">
      <w:pPr>
        <w:rPr>
          <w:rFonts w:cs="Arial"/>
        </w:rPr>
      </w:pPr>
    </w:p>
    <w:p w:rsidR="002C044B" w:rsidRPr="002C044B" w:rsidRDefault="002C044B" w:rsidP="00CD5C40">
      <w:pPr>
        <w:rPr>
          <w:rFonts w:cs="Arial"/>
          <w:b/>
        </w:rPr>
      </w:pPr>
      <w:r>
        <w:rPr>
          <w:rFonts w:cs="Arial"/>
          <w:b/>
        </w:rPr>
        <w:t>Submitting your application to PHE for consideration</w:t>
      </w:r>
    </w:p>
    <w:p w:rsidR="002C044B" w:rsidRDefault="002C044B" w:rsidP="00CD5C40">
      <w:pPr>
        <w:rPr>
          <w:rFonts w:cs="Arial"/>
        </w:rPr>
      </w:pPr>
    </w:p>
    <w:p w:rsidR="007A5693" w:rsidRPr="004C40F9" w:rsidRDefault="004C40F9" w:rsidP="00CD5C40">
      <w:pPr>
        <w:rPr>
          <w:rFonts w:cs="Arial"/>
          <w:b/>
          <w:i/>
        </w:rPr>
      </w:pPr>
      <w:r w:rsidRPr="004C40F9">
        <w:rPr>
          <w:rFonts w:cs="Arial"/>
        </w:rPr>
        <w:t xml:space="preserve">Applications for consideration by PHE will need to be </w:t>
      </w:r>
      <w:r w:rsidRPr="004C40F9">
        <w:rPr>
          <w:rFonts w:cs="Arial"/>
          <w:b/>
          <w:i/>
        </w:rPr>
        <w:t>submitted</w:t>
      </w:r>
      <w:r w:rsidRPr="004C40F9">
        <w:rPr>
          <w:rFonts w:cs="Arial"/>
        </w:rPr>
        <w:t xml:space="preserve"> to </w:t>
      </w:r>
      <w:hyperlink r:id="rId12" w:history="1">
        <w:r w:rsidR="00EF2678" w:rsidRPr="00441AF5">
          <w:rPr>
            <w:rStyle w:val="Hyperlink"/>
            <w:rFonts w:cs="Arial"/>
          </w:rPr>
          <w:t>cea2013@phe.gov.uk</w:t>
        </w:r>
      </w:hyperlink>
      <w:r w:rsidRPr="004C40F9">
        <w:rPr>
          <w:rFonts w:cs="Arial"/>
        </w:rPr>
        <w:t xml:space="preserve">  </w:t>
      </w:r>
      <w:r w:rsidRPr="004C40F9">
        <w:rPr>
          <w:rFonts w:cs="Arial"/>
          <w:b/>
          <w:i/>
        </w:rPr>
        <w:t xml:space="preserve">by </w:t>
      </w:r>
      <w:r w:rsidR="004B6BD7">
        <w:rPr>
          <w:rFonts w:cs="Arial"/>
          <w:b/>
          <w:i/>
          <w:color w:val="FF0000"/>
        </w:rPr>
        <w:t xml:space="preserve">Friday 16 August 2013. </w:t>
      </w:r>
      <w:r w:rsidRPr="004C40F9">
        <w:rPr>
          <w:rFonts w:cs="Arial"/>
          <w:b/>
          <w:i/>
        </w:rPr>
        <w:t xml:space="preserve">Applications received after this date will not be considered. </w:t>
      </w:r>
    </w:p>
    <w:p w:rsidR="007A5693" w:rsidRDefault="007A5693" w:rsidP="00CD5C40">
      <w:pPr>
        <w:rPr>
          <w:rFonts w:cs="Arial"/>
        </w:rPr>
      </w:pPr>
    </w:p>
    <w:p w:rsidR="00B74AED" w:rsidRPr="00B74AED" w:rsidRDefault="004C40F9" w:rsidP="00CD5C40">
      <w:pPr>
        <w:rPr>
          <w:rFonts w:cs="Arial"/>
        </w:rPr>
      </w:pPr>
      <w:r>
        <w:rPr>
          <w:rFonts w:cs="Arial"/>
        </w:rPr>
        <w:lastRenderedPageBreak/>
        <w:t xml:space="preserve">This application form must be submitted fully completed including </w:t>
      </w:r>
      <w:r w:rsidR="00B74AED">
        <w:rPr>
          <w:rFonts w:cs="Arial"/>
        </w:rPr>
        <w:t>the</w:t>
      </w:r>
      <w:r>
        <w:rPr>
          <w:rFonts w:cs="Arial"/>
        </w:rPr>
        <w:t xml:space="preserve"> employer statement. This should be provided by </w:t>
      </w:r>
      <w:r w:rsidR="00B74AED">
        <w:rPr>
          <w:rFonts w:cs="Arial"/>
        </w:rPr>
        <w:t xml:space="preserve">the </w:t>
      </w:r>
      <w:r>
        <w:rPr>
          <w:rFonts w:cs="Arial"/>
        </w:rPr>
        <w:t xml:space="preserve">line manager in </w:t>
      </w:r>
      <w:r w:rsidR="00B74AED">
        <w:rPr>
          <w:rFonts w:cs="Arial"/>
        </w:rPr>
        <w:t xml:space="preserve">the </w:t>
      </w:r>
      <w:r>
        <w:rPr>
          <w:rFonts w:cs="Arial"/>
        </w:rPr>
        <w:t>employing organisation and include the domain scores</w:t>
      </w:r>
      <w:r w:rsidR="00B74AED">
        <w:rPr>
          <w:rFonts w:cs="Arial"/>
        </w:rPr>
        <w:t xml:space="preserve"> on their assessment of your contributions. Failure to have the form fully completed will mean that the application cannot be progressed further. </w:t>
      </w:r>
    </w:p>
    <w:p w:rsidR="004C40F9" w:rsidRDefault="004C40F9" w:rsidP="00CD5C40">
      <w:pPr>
        <w:rPr>
          <w:rFonts w:cs="Arial"/>
        </w:rPr>
      </w:pPr>
    </w:p>
    <w:p w:rsidR="00CD5C40" w:rsidRPr="00161298" w:rsidRDefault="007229BA" w:rsidP="00CD5C40">
      <w:pPr>
        <w:rPr>
          <w:rFonts w:cs="Arial"/>
          <w:b/>
        </w:rPr>
      </w:pPr>
      <w:r>
        <w:rPr>
          <w:rFonts w:cs="Arial"/>
          <w:b/>
        </w:rPr>
        <w:t>Panels: Set up, recruitment and meetings</w:t>
      </w:r>
    </w:p>
    <w:p w:rsidR="00CD5C40" w:rsidRDefault="00CD5C40" w:rsidP="00CD5C40">
      <w:pPr>
        <w:rPr>
          <w:rFonts w:cs="Arial"/>
        </w:rPr>
      </w:pPr>
    </w:p>
    <w:p w:rsidR="00CD5C40" w:rsidRDefault="00CD5C40" w:rsidP="00CD5C40">
      <w:pPr>
        <w:rPr>
          <w:rFonts w:cs="Arial"/>
        </w:rPr>
      </w:pPr>
      <w:r>
        <w:rPr>
          <w:rFonts w:cs="Arial"/>
        </w:rPr>
        <w:t xml:space="preserve">PHE will </w:t>
      </w:r>
      <w:r w:rsidR="00382158">
        <w:rPr>
          <w:rFonts w:cs="Arial"/>
        </w:rPr>
        <w:t>divide</w:t>
      </w:r>
      <w:r>
        <w:rPr>
          <w:rFonts w:cs="Arial"/>
        </w:rPr>
        <w:t xml:space="preserve"> the work into the four regional boundaries</w:t>
      </w:r>
      <w:r w:rsidR="00EF2678">
        <w:rPr>
          <w:rFonts w:cs="Arial"/>
        </w:rPr>
        <w:t>:</w:t>
      </w:r>
      <w:r>
        <w:rPr>
          <w:rFonts w:cs="Arial"/>
        </w:rPr>
        <w:t xml:space="preserve"> London, Midlands and East, North of England, </w:t>
      </w:r>
      <w:r w:rsidR="00EF2678">
        <w:rPr>
          <w:rFonts w:cs="Arial"/>
        </w:rPr>
        <w:t xml:space="preserve">and </w:t>
      </w:r>
      <w:r>
        <w:rPr>
          <w:rFonts w:cs="Arial"/>
        </w:rPr>
        <w:t xml:space="preserve">South of England. This approach has been approved by ACCEA. </w:t>
      </w:r>
    </w:p>
    <w:p w:rsidR="00CD5C40" w:rsidRDefault="00CD5C40" w:rsidP="00CD5C40">
      <w:pPr>
        <w:rPr>
          <w:rFonts w:cs="Arial"/>
        </w:rPr>
      </w:pPr>
    </w:p>
    <w:p w:rsidR="00CD5C40" w:rsidRDefault="00CD5C40" w:rsidP="00CD5C40">
      <w:pPr>
        <w:rPr>
          <w:rFonts w:cs="Arial"/>
        </w:rPr>
      </w:pPr>
      <w:r>
        <w:rPr>
          <w:rFonts w:cs="Arial"/>
        </w:rPr>
        <w:t>The panels will consist of 12 m</w:t>
      </w:r>
      <w:r w:rsidR="00EF2678">
        <w:rPr>
          <w:rFonts w:cs="Arial"/>
        </w:rPr>
        <w:t>embers including the r</w:t>
      </w:r>
      <w:r>
        <w:rPr>
          <w:rFonts w:cs="Arial"/>
        </w:rPr>
        <w:t xml:space="preserve">egional </w:t>
      </w:r>
      <w:r w:rsidR="00EF2678">
        <w:rPr>
          <w:rFonts w:cs="Arial"/>
        </w:rPr>
        <w:t>d</w:t>
      </w:r>
      <w:r>
        <w:rPr>
          <w:rFonts w:cs="Arial"/>
        </w:rPr>
        <w:t>irector</w:t>
      </w:r>
      <w:r w:rsidR="00036E0A">
        <w:rPr>
          <w:rFonts w:cs="Arial"/>
        </w:rPr>
        <w:t>s</w:t>
      </w:r>
      <w:r>
        <w:rPr>
          <w:rFonts w:cs="Arial"/>
        </w:rPr>
        <w:t xml:space="preserve"> for the relevant region acting as the </w:t>
      </w:r>
      <w:r w:rsidR="00EF2678">
        <w:rPr>
          <w:rFonts w:cs="Arial"/>
        </w:rPr>
        <w:t>c</w:t>
      </w:r>
      <w:r>
        <w:rPr>
          <w:rFonts w:cs="Arial"/>
        </w:rPr>
        <w:t>hair. Panel members will break down evenly into the groups which ACCEA re</w:t>
      </w:r>
      <w:r w:rsidR="00EF2678">
        <w:rPr>
          <w:rFonts w:cs="Arial"/>
        </w:rPr>
        <w:t>commend should make up a panel:</w:t>
      </w:r>
    </w:p>
    <w:p w:rsidR="00B338EB" w:rsidRDefault="00B338EB" w:rsidP="00CD5C40">
      <w:pPr>
        <w:rPr>
          <w:rFonts w:cs="Arial"/>
        </w:rPr>
      </w:pPr>
    </w:p>
    <w:p w:rsidR="00CD5C40" w:rsidRDefault="00EF2678" w:rsidP="00CD5C40">
      <w:pPr>
        <w:numPr>
          <w:ilvl w:val="0"/>
          <w:numId w:val="1"/>
        </w:numPr>
        <w:spacing w:after="200" w:line="276" w:lineRule="auto"/>
        <w:contextualSpacing/>
        <w:rPr>
          <w:rFonts w:cs="Arial"/>
        </w:rPr>
      </w:pPr>
      <w:r>
        <w:rPr>
          <w:rFonts w:cs="Arial"/>
        </w:rPr>
        <w:t>f</w:t>
      </w:r>
      <w:r w:rsidR="00CD5C40">
        <w:rPr>
          <w:rFonts w:cs="Arial"/>
        </w:rPr>
        <w:t>our lay members (persons with an interest but no qualifications in healthcare)</w:t>
      </w:r>
    </w:p>
    <w:p w:rsidR="00CD5C40" w:rsidRDefault="00EF2678" w:rsidP="00CD5C40">
      <w:pPr>
        <w:numPr>
          <w:ilvl w:val="0"/>
          <w:numId w:val="1"/>
        </w:numPr>
        <w:spacing w:after="200" w:line="276" w:lineRule="auto"/>
        <w:contextualSpacing/>
        <w:rPr>
          <w:rFonts w:cs="Arial"/>
        </w:rPr>
      </w:pPr>
      <w:r>
        <w:rPr>
          <w:rFonts w:cs="Arial"/>
        </w:rPr>
        <w:t>f</w:t>
      </w:r>
      <w:r w:rsidR="00CD5C40">
        <w:rPr>
          <w:rFonts w:cs="Arial"/>
        </w:rPr>
        <w:t>our professional members (</w:t>
      </w:r>
      <w:r>
        <w:rPr>
          <w:rFonts w:cs="Arial"/>
        </w:rPr>
        <w:t>m</w:t>
      </w:r>
      <w:r w:rsidR="00CD5C40">
        <w:rPr>
          <w:rFonts w:cs="Arial"/>
        </w:rPr>
        <w:t>edically qualified consultants and academics)</w:t>
      </w:r>
    </w:p>
    <w:p w:rsidR="00CD5C40" w:rsidRDefault="00EF2678" w:rsidP="00CD5C40">
      <w:pPr>
        <w:numPr>
          <w:ilvl w:val="0"/>
          <w:numId w:val="1"/>
        </w:numPr>
        <w:spacing w:after="200" w:line="276" w:lineRule="auto"/>
        <w:contextualSpacing/>
        <w:rPr>
          <w:rFonts w:cs="Arial"/>
        </w:rPr>
      </w:pPr>
      <w:r>
        <w:rPr>
          <w:rFonts w:cs="Arial"/>
        </w:rPr>
        <w:t>f</w:t>
      </w:r>
      <w:r w:rsidR="00CD5C40">
        <w:rPr>
          <w:rFonts w:cs="Arial"/>
        </w:rPr>
        <w:t>our employer members (</w:t>
      </w:r>
      <w:r>
        <w:rPr>
          <w:rFonts w:cs="Arial"/>
        </w:rPr>
        <w:t>trust or l</w:t>
      </w:r>
      <w:r w:rsidR="00CD5C40">
        <w:rPr>
          <w:rFonts w:cs="Arial"/>
        </w:rPr>
        <w:t xml:space="preserve">ocal </w:t>
      </w:r>
      <w:r>
        <w:rPr>
          <w:rFonts w:cs="Arial"/>
        </w:rPr>
        <w:t>a</w:t>
      </w:r>
      <w:r w:rsidR="00CD5C40">
        <w:rPr>
          <w:rFonts w:cs="Arial"/>
        </w:rPr>
        <w:t xml:space="preserve">uthority </w:t>
      </w:r>
      <w:r>
        <w:rPr>
          <w:rFonts w:cs="Arial"/>
        </w:rPr>
        <w:t>c</w:t>
      </w:r>
      <w:r w:rsidR="00CD5C40">
        <w:rPr>
          <w:rFonts w:cs="Arial"/>
        </w:rPr>
        <w:t xml:space="preserve">hief </w:t>
      </w:r>
      <w:r>
        <w:rPr>
          <w:rFonts w:cs="Arial"/>
        </w:rPr>
        <w:t>e</w:t>
      </w:r>
      <w:r w:rsidR="00CD5C40">
        <w:rPr>
          <w:rFonts w:cs="Arial"/>
        </w:rPr>
        <w:t xml:space="preserve">xecutives, </w:t>
      </w:r>
      <w:r>
        <w:rPr>
          <w:rFonts w:cs="Arial"/>
        </w:rPr>
        <w:t>u</w:t>
      </w:r>
      <w:r w:rsidR="00CD5C40">
        <w:rPr>
          <w:rFonts w:cs="Arial"/>
        </w:rPr>
        <w:t xml:space="preserve">niversity </w:t>
      </w:r>
      <w:r>
        <w:rPr>
          <w:rFonts w:cs="Arial"/>
        </w:rPr>
        <w:t>p</w:t>
      </w:r>
      <w:r w:rsidR="00CD5C40">
        <w:rPr>
          <w:rFonts w:cs="Arial"/>
        </w:rPr>
        <w:t xml:space="preserve">rincipals, </w:t>
      </w:r>
      <w:r>
        <w:rPr>
          <w:rFonts w:cs="Arial"/>
        </w:rPr>
        <w:t>p</w:t>
      </w:r>
      <w:r w:rsidR="00CD5C40">
        <w:rPr>
          <w:rFonts w:cs="Arial"/>
        </w:rPr>
        <w:t xml:space="preserve">ublic </w:t>
      </w:r>
      <w:r>
        <w:rPr>
          <w:rFonts w:cs="Arial"/>
        </w:rPr>
        <w:t>h</w:t>
      </w:r>
      <w:r w:rsidR="00CD5C40">
        <w:rPr>
          <w:rFonts w:cs="Arial"/>
        </w:rPr>
        <w:t xml:space="preserve">ealth </w:t>
      </w:r>
      <w:r>
        <w:rPr>
          <w:rFonts w:cs="Arial"/>
        </w:rPr>
        <w:t>d</w:t>
      </w:r>
      <w:r w:rsidR="00CD5C40">
        <w:rPr>
          <w:rFonts w:cs="Arial"/>
        </w:rPr>
        <w:t xml:space="preserve">irectors, </w:t>
      </w:r>
      <w:r>
        <w:rPr>
          <w:rFonts w:cs="Arial"/>
        </w:rPr>
        <w:t>m</w:t>
      </w:r>
      <w:r w:rsidR="00CD5C40">
        <w:rPr>
          <w:rFonts w:cs="Arial"/>
        </w:rPr>
        <w:t xml:space="preserve">edical </w:t>
      </w:r>
      <w:r>
        <w:rPr>
          <w:rFonts w:cs="Arial"/>
        </w:rPr>
        <w:t>d</w:t>
      </w:r>
      <w:r w:rsidR="00CD5C40">
        <w:rPr>
          <w:rFonts w:cs="Arial"/>
        </w:rPr>
        <w:t xml:space="preserve">irectors or HR </w:t>
      </w:r>
      <w:r>
        <w:rPr>
          <w:rFonts w:cs="Arial"/>
        </w:rPr>
        <w:t>d</w:t>
      </w:r>
      <w:r w:rsidR="00CD5C40">
        <w:rPr>
          <w:rFonts w:cs="Arial"/>
        </w:rPr>
        <w:t>irectors)</w:t>
      </w:r>
    </w:p>
    <w:p w:rsidR="0071771D" w:rsidRDefault="0071771D" w:rsidP="0071771D">
      <w:pPr>
        <w:spacing w:after="200" w:line="276" w:lineRule="auto"/>
        <w:contextualSpacing/>
        <w:rPr>
          <w:rFonts w:cs="Arial"/>
        </w:rPr>
      </w:pPr>
    </w:p>
    <w:p w:rsidR="007229BA" w:rsidRDefault="007229BA" w:rsidP="0071771D">
      <w:pPr>
        <w:spacing w:after="200" w:line="276" w:lineRule="auto"/>
        <w:contextualSpacing/>
        <w:rPr>
          <w:rFonts w:cs="Arial"/>
        </w:rPr>
      </w:pPr>
      <w:r>
        <w:rPr>
          <w:rFonts w:cs="Arial"/>
        </w:rPr>
        <w:t>Recruitment to the panel will be he</w:t>
      </w:r>
      <w:r w:rsidR="00382158">
        <w:rPr>
          <w:rFonts w:cs="Arial"/>
        </w:rPr>
        <w:t>ld in conjunction with the BMA/</w:t>
      </w:r>
      <w:r>
        <w:rPr>
          <w:rFonts w:cs="Arial"/>
        </w:rPr>
        <w:t>B</w:t>
      </w:r>
      <w:r w:rsidR="00382158">
        <w:rPr>
          <w:rFonts w:cs="Arial"/>
        </w:rPr>
        <w:t>D</w:t>
      </w:r>
      <w:r>
        <w:rPr>
          <w:rFonts w:cs="Arial"/>
        </w:rPr>
        <w:t xml:space="preserve">A, </w:t>
      </w:r>
      <w:r w:rsidR="00EF2678">
        <w:rPr>
          <w:rFonts w:cs="Arial"/>
        </w:rPr>
        <w:t>regional directors, PHE’s m</w:t>
      </w:r>
      <w:r>
        <w:rPr>
          <w:rFonts w:cs="Arial"/>
        </w:rPr>
        <w:t xml:space="preserve">edical </w:t>
      </w:r>
      <w:r w:rsidR="00EF2678">
        <w:rPr>
          <w:rFonts w:cs="Arial"/>
        </w:rPr>
        <w:t>d</w:t>
      </w:r>
      <w:r>
        <w:rPr>
          <w:rFonts w:cs="Arial"/>
        </w:rPr>
        <w:t>irector, the Local Government A</w:t>
      </w:r>
      <w:r w:rsidR="00382158">
        <w:rPr>
          <w:rFonts w:cs="Arial"/>
        </w:rPr>
        <w:t>ssociation</w:t>
      </w:r>
      <w:r>
        <w:rPr>
          <w:rFonts w:cs="Arial"/>
        </w:rPr>
        <w:t xml:space="preserve"> and </w:t>
      </w:r>
      <w:r w:rsidR="00382158">
        <w:rPr>
          <w:rFonts w:cs="Arial"/>
        </w:rPr>
        <w:t>t</w:t>
      </w:r>
      <w:r w:rsidR="00EF2678">
        <w:rPr>
          <w:rFonts w:cs="Arial"/>
        </w:rPr>
        <w:t>he Medical Schools Council</w:t>
      </w:r>
      <w:r w:rsidR="00382158">
        <w:rPr>
          <w:rFonts w:cs="Arial"/>
        </w:rPr>
        <w:t>.</w:t>
      </w:r>
    </w:p>
    <w:p w:rsidR="007229BA" w:rsidRDefault="007229BA" w:rsidP="0071771D">
      <w:pPr>
        <w:spacing w:after="200" w:line="276" w:lineRule="auto"/>
        <w:contextualSpacing/>
        <w:rPr>
          <w:rFonts w:cs="Arial"/>
        </w:rPr>
      </w:pPr>
    </w:p>
    <w:p w:rsidR="0071771D" w:rsidRDefault="007229BA" w:rsidP="0071771D">
      <w:pPr>
        <w:spacing w:after="200" w:line="276" w:lineRule="auto"/>
        <w:contextualSpacing/>
        <w:rPr>
          <w:rFonts w:cs="Arial"/>
        </w:rPr>
      </w:pPr>
      <w:r>
        <w:rPr>
          <w:rFonts w:cs="Arial"/>
        </w:rPr>
        <w:t xml:space="preserve">All 12 panel members are required to complete the scoring. Further information on scoring can be found later in the document. </w:t>
      </w:r>
    </w:p>
    <w:p w:rsidR="007229BA" w:rsidRDefault="007229BA" w:rsidP="0071771D">
      <w:pPr>
        <w:spacing w:after="200" w:line="276" w:lineRule="auto"/>
        <w:contextualSpacing/>
        <w:rPr>
          <w:rFonts w:cs="Arial"/>
        </w:rPr>
      </w:pPr>
    </w:p>
    <w:p w:rsidR="007229BA" w:rsidRPr="004C40F9" w:rsidRDefault="007229BA" w:rsidP="0071771D">
      <w:pPr>
        <w:spacing w:after="200" w:line="276" w:lineRule="auto"/>
        <w:contextualSpacing/>
        <w:rPr>
          <w:rFonts w:cs="Arial"/>
          <w:b/>
          <w:i/>
        </w:rPr>
      </w:pPr>
      <w:r>
        <w:rPr>
          <w:rFonts w:cs="Arial"/>
        </w:rPr>
        <w:t xml:space="preserve">Consideration of the application forms will take place in a half day meeting (national applications for the region will be considered in the afternoon of the same day). All panel members are invited to and welcome to attend. However, there may be many reasons why not all panel members can attend. </w:t>
      </w:r>
      <w:r w:rsidRPr="004C40F9">
        <w:rPr>
          <w:rFonts w:cs="Arial"/>
          <w:b/>
          <w:i/>
        </w:rPr>
        <w:t>PHE will consider a panel quorate if six, which must include two representatives from each of the member groups, of the 12 panel members are present.</w:t>
      </w:r>
    </w:p>
    <w:p w:rsidR="007229BA" w:rsidRDefault="007229BA" w:rsidP="00782683">
      <w:pPr>
        <w:spacing w:after="200" w:line="276" w:lineRule="auto"/>
        <w:contextualSpacing/>
        <w:rPr>
          <w:rFonts w:cs="Arial"/>
          <w:b/>
        </w:rPr>
      </w:pPr>
    </w:p>
    <w:p w:rsidR="00EA6008" w:rsidRDefault="00EA6008">
      <w:pPr>
        <w:spacing w:line="240" w:lineRule="auto"/>
        <w:rPr>
          <w:rFonts w:cs="Arial"/>
          <w:b/>
        </w:rPr>
      </w:pPr>
      <w:r>
        <w:rPr>
          <w:rFonts w:cs="Arial"/>
          <w:b/>
        </w:rPr>
        <w:br w:type="page"/>
      </w:r>
    </w:p>
    <w:p w:rsidR="00782683" w:rsidRDefault="00782683" w:rsidP="00782683">
      <w:pPr>
        <w:spacing w:after="200" w:line="276" w:lineRule="auto"/>
        <w:contextualSpacing/>
        <w:rPr>
          <w:rFonts w:cs="Arial"/>
          <w:b/>
        </w:rPr>
      </w:pPr>
      <w:r>
        <w:rPr>
          <w:rFonts w:cs="Arial"/>
          <w:b/>
        </w:rPr>
        <w:lastRenderedPageBreak/>
        <w:t>Scoring</w:t>
      </w:r>
    </w:p>
    <w:p w:rsidR="00782683" w:rsidRDefault="00782683" w:rsidP="00782683">
      <w:pPr>
        <w:spacing w:after="200" w:line="276" w:lineRule="auto"/>
        <w:contextualSpacing/>
        <w:rPr>
          <w:rFonts w:cs="Arial"/>
          <w:b/>
        </w:rPr>
      </w:pPr>
    </w:p>
    <w:p w:rsidR="00B338EB" w:rsidRDefault="00B338EB" w:rsidP="00B338EB">
      <w:pPr>
        <w:spacing w:after="200" w:line="276" w:lineRule="auto"/>
        <w:contextualSpacing/>
        <w:rPr>
          <w:rFonts w:cs="Arial"/>
        </w:rPr>
      </w:pPr>
      <w:r>
        <w:rPr>
          <w:rFonts w:cs="Arial"/>
        </w:rPr>
        <w:t>The role of the committee will be to consider the applications put before them. They will score each domain within the application form using the 0,</w:t>
      </w:r>
      <w:r w:rsidR="00EF2678">
        <w:rPr>
          <w:rFonts w:cs="Arial"/>
        </w:rPr>
        <w:t xml:space="preserve"> </w:t>
      </w:r>
      <w:r>
        <w:rPr>
          <w:rFonts w:cs="Arial"/>
        </w:rPr>
        <w:t>2,</w:t>
      </w:r>
      <w:r w:rsidR="00EF2678">
        <w:rPr>
          <w:rFonts w:cs="Arial"/>
        </w:rPr>
        <w:t xml:space="preserve"> </w:t>
      </w:r>
      <w:r>
        <w:rPr>
          <w:rFonts w:cs="Arial"/>
        </w:rPr>
        <w:t>6,</w:t>
      </w:r>
      <w:r w:rsidR="00EF2678">
        <w:rPr>
          <w:rFonts w:cs="Arial"/>
        </w:rPr>
        <w:t xml:space="preserve"> </w:t>
      </w:r>
      <w:proofErr w:type="gramStart"/>
      <w:r>
        <w:rPr>
          <w:rFonts w:cs="Arial"/>
        </w:rPr>
        <w:t>10</w:t>
      </w:r>
      <w:proofErr w:type="gramEnd"/>
      <w:r w:rsidR="00EF2678">
        <w:rPr>
          <w:rFonts w:cs="Arial"/>
        </w:rPr>
        <w:t xml:space="preserve"> system as described by ACCEA:</w:t>
      </w:r>
      <w:r>
        <w:rPr>
          <w:rFonts w:cs="Arial"/>
        </w:rPr>
        <w:t xml:space="preserve"> </w:t>
      </w:r>
    </w:p>
    <w:p w:rsidR="00B338EB" w:rsidRDefault="00B338EB" w:rsidP="00B338EB">
      <w:pPr>
        <w:spacing w:after="200" w:line="276" w:lineRule="auto"/>
        <w:contextualSpacing/>
        <w:rPr>
          <w:rFonts w:cs="Arial"/>
        </w:rPr>
      </w:pPr>
    </w:p>
    <w:p w:rsidR="00B338EB" w:rsidRDefault="00B338EB" w:rsidP="00B338EB">
      <w:pPr>
        <w:numPr>
          <w:ilvl w:val="1"/>
          <w:numId w:val="2"/>
        </w:numPr>
        <w:spacing w:after="200" w:line="276" w:lineRule="auto"/>
        <w:contextualSpacing/>
        <w:rPr>
          <w:rFonts w:cs="Arial"/>
        </w:rPr>
      </w:pPr>
      <w:r>
        <w:rPr>
          <w:rFonts w:cs="Arial"/>
        </w:rPr>
        <w:t>0 = No commitment in this domain</w:t>
      </w:r>
    </w:p>
    <w:p w:rsidR="00B338EB" w:rsidRDefault="00B338EB" w:rsidP="00B338EB">
      <w:pPr>
        <w:numPr>
          <w:ilvl w:val="1"/>
          <w:numId w:val="2"/>
        </w:numPr>
        <w:spacing w:after="200" w:line="276" w:lineRule="auto"/>
        <w:contextualSpacing/>
        <w:rPr>
          <w:rFonts w:cs="Arial"/>
        </w:rPr>
      </w:pPr>
      <w:r>
        <w:rPr>
          <w:rFonts w:cs="Arial"/>
        </w:rPr>
        <w:t>2 = Delivers contractual expectations</w:t>
      </w:r>
    </w:p>
    <w:p w:rsidR="00B338EB" w:rsidRDefault="00B338EB" w:rsidP="00B338EB">
      <w:pPr>
        <w:numPr>
          <w:ilvl w:val="1"/>
          <w:numId w:val="2"/>
        </w:numPr>
        <w:spacing w:after="200" w:line="276" w:lineRule="auto"/>
        <w:contextualSpacing/>
        <w:rPr>
          <w:rFonts w:cs="Arial"/>
        </w:rPr>
      </w:pPr>
      <w:r>
        <w:rPr>
          <w:rFonts w:cs="Arial"/>
        </w:rPr>
        <w:t>6 = Some aspects of delivery are over and above contractual expectations</w:t>
      </w:r>
    </w:p>
    <w:p w:rsidR="00B338EB" w:rsidRDefault="00B338EB" w:rsidP="00B338EB">
      <w:pPr>
        <w:numPr>
          <w:ilvl w:val="1"/>
          <w:numId w:val="2"/>
        </w:numPr>
        <w:spacing w:after="200" w:line="276" w:lineRule="auto"/>
        <w:contextualSpacing/>
        <w:rPr>
          <w:rFonts w:cs="Arial"/>
        </w:rPr>
      </w:pPr>
      <w:r>
        <w:rPr>
          <w:rFonts w:cs="Arial"/>
        </w:rPr>
        <w:t>10 = Excellent</w:t>
      </w:r>
    </w:p>
    <w:p w:rsidR="00B338EB" w:rsidRDefault="00B338EB" w:rsidP="00782683">
      <w:pPr>
        <w:spacing w:after="200" w:line="276" w:lineRule="auto"/>
        <w:contextualSpacing/>
        <w:rPr>
          <w:rFonts w:cs="Arial"/>
          <w:b/>
        </w:rPr>
      </w:pPr>
    </w:p>
    <w:p w:rsidR="00B338EB" w:rsidRDefault="00B338EB" w:rsidP="00782683">
      <w:pPr>
        <w:spacing w:after="200" w:line="276" w:lineRule="auto"/>
        <w:contextualSpacing/>
        <w:rPr>
          <w:rFonts w:cs="Arial"/>
        </w:rPr>
      </w:pPr>
      <w:r>
        <w:rPr>
          <w:rFonts w:cs="Arial"/>
        </w:rPr>
        <w:t>These scores will be collated by PHE and made available to all members on the day of the considerations.</w:t>
      </w:r>
    </w:p>
    <w:p w:rsidR="00B338EB" w:rsidRDefault="00B338EB" w:rsidP="00782683">
      <w:pPr>
        <w:spacing w:after="200" w:line="276" w:lineRule="auto"/>
        <w:contextualSpacing/>
        <w:rPr>
          <w:rFonts w:cs="Arial"/>
          <w:b/>
        </w:rPr>
      </w:pPr>
    </w:p>
    <w:p w:rsidR="004B6BD7" w:rsidRDefault="004B6BD7" w:rsidP="004B6BD7">
      <w:pPr>
        <w:spacing w:after="200" w:line="276" w:lineRule="auto"/>
        <w:contextualSpacing/>
        <w:rPr>
          <w:rFonts w:cs="Arial"/>
          <w:b/>
        </w:rPr>
      </w:pPr>
      <w:r>
        <w:rPr>
          <w:rFonts w:cs="Arial"/>
          <w:b/>
        </w:rPr>
        <w:t>Allocation of points</w:t>
      </w:r>
    </w:p>
    <w:p w:rsidR="004B6BD7" w:rsidRDefault="004B6BD7" w:rsidP="004B6BD7">
      <w:pPr>
        <w:spacing w:after="200" w:line="276" w:lineRule="auto"/>
        <w:contextualSpacing/>
        <w:rPr>
          <w:rFonts w:cs="Arial"/>
          <w:b/>
        </w:rPr>
      </w:pPr>
    </w:p>
    <w:p w:rsidR="004B6BD7" w:rsidRDefault="004B6BD7" w:rsidP="004B6BD7">
      <w:pPr>
        <w:spacing w:after="200" w:line="276" w:lineRule="auto"/>
        <w:contextualSpacing/>
      </w:pPr>
      <w:r>
        <w:t xml:space="preserve">Unless there are exceptional circumstances; </w:t>
      </w:r>
    </w:p>
    <w:p w:rsidR="004B6BD7" w:rsidRDefault="004B6BD7" w:rsidP="004B6BD7">
      <w:pPr>
        <w:pStyle w:val="ListParagraph"/>
        <w:numPr>
          <w:ilvl w:val="0"/>
          <w:numId w:val="4"/>
        </w:numPr>
        <w:spacing w:after="200" w:line="276" w:lineRule="auto"/>
        <w:contextualSpacing/>
        <w:rPr>
          <w:rFonts w:ascii="Arial" w:hAnsi="Arial" w:cs="Arial"/>
          <w:sz w:val="24"/>
          <w:szCs w:val="24"/>
        </w:rPr>
      </w:pPr>
      <w:r w:rsidRPr="004B6BD7">
        <w:rPr>
          <w:rFonts w:ascii="Arial" w:hAnsi="Arial" w:cs="Arial"/>
          <w:sz w:val="24"/>
          <w:szCs w:val="24"/>
        </w:rPr>
        <w:t>no applicant will be awarded more than two points from their current award</w:t>
      </w:r>
    </w:p>
    <w:p w:rsidR="004B6BD7" w:rsidRPr="004B6BD7" w:rsidRDefault="004B6BD7" w:rsidP="00782683">
      <w:pPr>
        <w:pStyle w:val="ListParagraph"/>
        <w:numPr>
          <w:ilvl w:val="0"/>
          <w:numId w:val="4"/>
        </w:numPr>
        <w:spacing w:after="200" w:line="276" w:lineRule="auto"/>
        <w:contextualSpacing/>
        <w:rPr>
          <w:rFonts w:ascii="Arial" w:hAnsi="Arial" w:cs="Arial"/>
          <w:sz w:val="24"/>
          <w:szCs w:val="24"/>
        </w:rPr>
      </w:pPr>
      <w:r w:rsidRPr="004B6BD7">
        <w:rPr>
          <w:rFonts w:ascii="Arial" w:hAnsi="Arial" w:cs="Arial"/>
          <w:sz w:val="24"/>
          <w:szCs w:val="24"/>
        </w:rPr>
        <w:t xml:space="preserve">no applicant will be awarded further points if they received an award last year     </w:t>
      </w:r>
    </w:p>
    <w:p w:rsidR="00CD5C40" w:rsidRDefault="000F1529" w:rsidP="00CD5C40">
      <w:pPr>
        <w:rPr>
          <w:rFonts w:cs="Arial"/>
          <w:b/>
        </w:rPr>
      </w:pPr>
      <w:r w:rsidRPr="000F1529">
        <w:rPr>
          <w:rFonts w:cs="Arial"/>
          <w:b/>
        </w:rPr>
        <w:t>Notification of results</w:t>
      </w:r>
    </w:p>
    <w:p w:rsidR="002E0941" w:rsidRDefault="002E0941" w:rsidP="00CD5C40">
      <w:pPr>
        <w:rPr>
          <w:rFonts w:cs="Arial"/>
          <w:b/>
        </w:rPr>
      </w:pPr>
    </w:p>
    <w:p w:rsidR="002E0941" w:rsidRDefault="002E0941" w:rsidP="00CD5C40">
      <w:pPr>
        <w:rPr>
          <w:rFonts w:cs="Arial"/>
        </w:rPr>
      </w:pPr>
      <w:r>
        <w:rPr>
          <w:rFonts w:cs="Arial"/>
        </w:rPr>
        <w:t xml:space="preserve">Results of the 2013 </w:t>
      </w:r>
      <w:r w:rsidR="00EF2678">
        <w:rPr>
          <w:rFonts w:cs="Arial"/>
        </w:rPr>
        <w:t>r</w:t>
      </w:r>
      <w:r>
        <w:rPr>
          <w:rFonts w:cs="Arial"/>
        </w:rPr>
        <w:t xml:space="preserve">ound will be made available </w:t>
      </w:r>
      <w:r w:rsidR="00E22F16">
        <w:rPr>
          <w:rFonts w:cs="Arial"/>
        </w:rPr>
        <w:t xml:space="preserve">one week after the panel meetings have taken place. </w:t>
      </w:r>
    </w:p>
    <w:p w:rsidR="00E22F16" w:rsidRDefault="00E22F16" w:rsidP="00CD5C40">
      <w:pPr>
        <w:rPr>
          <w:rFonts w:cs="Arial"/>
        </w:rPr>
      </w:pPr>
    </w:p>
    <w:p w:rsidR="00E22F16" w:rsidRPr="002E0941" w:rsidRDefault="00E22F16" w:rsidP="00CD5C40">
      <w:pPr>
        <w:rPr>
          <w:rFonts w:cs="Arial"/>
        </w:rPr>
      </w:pPr>
      <w:r>
        <w:rPr>
          <w:rFonts w:cs="Arial"/>
        </w:rPr>
        <w:t>All candidates will be contacted and notified of the outcome of their own application and a list of successful candidates will a</w:t>
      </w:r>
      <w:r w:rsidR="00EF2678">
        <w:rPr>
          <w:rFonts w:cs="Arial"/>
        </w:rPr>
        <w:t>lso be made available on the PHE intranet.</w:t>
      </w:r>
    </w:p>
    <w:p w:rsidR="005342B6" w:rsidRDefault="005342B6" w:rsidP="007E1EE0"/>
    <w:p w:rsidR="000F1529" w:rsidRPr="000F1529" w:rsidRDefault="000F1529" w:rsidP="007E1EE0">
      <w:pPr>
        <w:rPr>
          <w:b/>
        </w:rPr>
      </w:pPr>
      <w:r>
        <w:rPr>
          <w:b/>
        </w:rPr>
        <w:t>Appeals process</w:t>
      </w:r>
    </w:p>
    <w:p w:rsidR="0057662F" w:rsidRDefault="0057662F" w:rsidP="005342B6">
      <w:pPr>
        <w:tabs>
          <w:tab w:val="left" w:pos="1920"/>
        </w:tabs>
      </w:pPr>
    </w:p>
    <w:p w:rsidR="00B739B8" w:rsidRDefault="00B739B8" w:rsidP="005342B6">
      <w:pPr>
        <w:tabs>
          <w:tab w:val="left" w:pos="1920"/>
        </w:tabs>
      </w:pPr>
      <w:r>
        <w:t xml:space="preserve">Applicants will have </w:t>
      </w:r>
      <w:r w:rsidR="00EF2678">
        <w:t>four</w:t>
      </w:r>
      <w:r>
        <w:t xml:space="preserve"> weeks from the results being announced to appeal. This is in line with ACCEA guidance. Further information on grounds for appeal can be found in the 2013 Guide to Employer Based Awards </w:t>
      </w:r>
      <w:r w:rsidR="00BA7808">
        <w:t>published by ACCEA.</w:t>
      </w:r>
    </w:p>
    <w:p w:rsidR="00BA7808" w:rsidRDefault="00BA7808" w:rsidP="005342B6">
      <w:pPr>
        <w:tabs>
          <w:tab w:val="left" w:pos="1920"/>
        </w:tabs>
      </w:pPr>
    </w:p>
    <w:p w:rsidR="00BA7808" w:rsidRDefault="00BA7808" w:rsidP="005342B6">
      <w:pPr>
        <w:tabs>
          <w:tab w:val="left" w:pos="1920"/>
        </w:tabs>
      </w:pPr>
      <w:r>
        <w:t>PHE will undertake to investigate and r</w:t>
      </w:r>
      <w:r w:rsidR="00EF2678">
        <w:t>espond to the appellant within four</w:t>
      </w:r>
      <w:r>
        <w:t xml:space="preserve"> weeks of the appeal being received. Where this is not possible, appellants will be kept informed of progress throughout the process. </w:t>
      </w:r>
    </w:p>
    <w:p w:rsidR="00BA7808" w:rsidRDefault="00BA7808" w:rsidP="005342B6">
      <w:pPr>
        <w:tabs>
          <w:tab w:val="left" w:pos="1920"/>
        </w:tabs>
      </w:pPr>
    </w:p>
    <w:p w:rsidR="00BA7808" w:rsidRDefault="00BA7808" w:rsidP="005342B6">
      <w:pPr>
        <w:tabs>
          <w:tab w:val="left" w:pos="1920"/>
        </w:tabs>
      </w:pPr>
      <w:r>
        <w:t xml:space="preserve">Every attempt will be made to resolve the appeal informally. Where this is not possible a panel of people previously uninvolved in the case will be set up to review the appeal. This panel will consist of three members, one from each of the types of panel members. </w:t>
      </w:r>
    </w:p>
    <w:p w:rsidR="00BA7808" w:rsidRDefault="00BA7808" w:rsidP="005342B6">
      <w:pPr>
        <w:tabs>
          <w:tab w:val="left" w:pos="1920"/>
        </w:tabs>
      </w:pPr>
    </w:p>
    <w:p w:rsidR="00BA7808" w:rsidRDefault="00BA7808" w:rsidP="005342B6">
      <w:pPr>
        <w:tabs>
          <w:tab w:val="left" w:pos="1920"/>
        </w:tabs>
      </w:pPr>
      <w:r>
        <w:lastRenderedPageBreak/>
        <w:t xml:space="preserve">The panel would proceed on the basis of paperwork but any requests for an oral hearing will be considered. </w:t>
      </w:r>
    </w:p>
    <w:p w:rsidR="00382158" w:rsidRDefault="00382158" w:rsidP="005342B6">
      <w:pPr>
        <w:tabs>
          <w:tab w:val="left" w:pos="1920"/>
        </w:tabs>
      </w:pPr>
      <w:bookmarkStart w:id="0" w:name="_GoBack"/>
      <w:bookmarkEnd w:id="0"/>
    </w:p>
    <w:p w:rsidR="00BA7808" w:rsidRDefault="00BA7808" w:rsidP="005342B6">
      <w:pPr>
        <w:tabs>
          <w:tab w:val="left" w:pos="1920"/>
        </w:tabs>
      </w:pPr>
      <w:r>
        <w:t>An upheld appeal will not automatically translate into an award being made. Where an appeal is upheld, a further process for determining whether an award</w:t>
      </w:r>
      <w:r w:rsidR="006E5C9C">
        <w:t xml:space="preserve"> should be made or not will be needed. This will normally be some form of rescoring exercise. </w:t>
      </w:r>
    </w:p>
    <w:p w:rsidR="006E5C9C" w:rsidRDefault="006E5C9C" w:rsidP="005342B6">
      <w:pPr>
        <w:tabs>
          <w:tab w:val="left" w:pos="1920"/>
        </w:tabs>
      </w:pPr>
    </w:p>
    <w:p w:rsidR="006E5C9C" w:rsidRPr="005342B6" w:rsidRDefault="006E5C9C" w:rsidP="005342B6">
      <w:pPr>
        <w:tabs>
          <w:tab w:val="left" w:pos="1920"/>
        </w:tabs>
      </w:pPr>
      <w:r>
        <w:t xml:space="preserve">If the appellant remains dissatisfied, once the appeal PHE has concluded, they can choose to appeal to the national </w:t>
      </w:r>
      <w:r w:rsidR="006F475B">
        <w:t>c</w:t>
      </w:r>
      <w:r>
        <w:t xml:space="preserve">hair of ACCEA. If this route is chosen, the decision of the ACCEA </w:t>
      </w:r>
      <w:r w:rsidR="006F475B">
        <w:t>c</w:t>
      </w:r>
      <w:r>
        <w:t xml:space="preserve">hair is final. </w:t>
      </w:r>
    </w:p>
    <w:sectPr w:rsidR="006E5C9C" w:rsidRPr="005342B6" w:rsidSect="00EA6008">
      <w:footerReference w:type="default" r:id="rId13"/>
      <w:headerReference w:type="first" r:id="rId14"/>
      <w:type w:val="continuous"/>
      <w:pgSz w:w="11906" w:h="16838"/>
      <w:pgMar w:top="1440" w:right="1440" w:bottom="1440" w:left="1440" w:header="2268"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2BB" w:rsidRDefault="00A722BB" w:rsidP="007E1EE0">
      <w:r>
        <w:separator/>
      </w:r>
    </w:p>
  </w:endnote>
  <w:endnote w:type="continuationSeparator" w:id="0">
    <w:p w:rsidR="00A722BB" w:rsidRDefault="00A722BB" w:rsidP="007E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501811"/>
      <w:docPartObj>
        <w:docPartGallery w:val="Page Numbers (Bottom of Page)"/>
        <w:docPartUnique/>
      </w:docPartObj>
    </w:sdtPr>
    <w:sdtEndPr>
      <w:rPr>
        <w:noProof/>
      </w:rPr>
    </w:sdtEndPr>
    <w:sdtContent>
      <w:p w:rsidR="002C044B" w:rsidRDefault="002C044B">
        <w:pPr>
          <w:pStyle w:val="Footer"/>
          <w:jc w:val="right"/>
        </w:pPr>
        <w:r>
          <w:fldChar w:fldCharType="begin"/>
        </w:r>
        <w:r>
          <w:instrText xml:space="preserve"> PAGE   \* MERGEFORMAT </w:instrText>
        </w:r>
        <w:r>
          <w:fldChar w:fldCharType="separate"/>
        </w:r>
        <w:r w:rsidR="00112C16">
          <w:rPr>
            <w:noProof/>
          </w:rPr>
          <w:t>3</w:t>
        </w:r>
        <w:r>
          <w:rPr>
            <w:noProof/>
          </w:rPr>
          <w:fldChar w:fldCharType="end"/>
        </w:r>
      </w:p>
    </w:sdtContent>
  </w:sdt>
  <w:p w:rsidR="002C044B" w:rsidRDefault="002C0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2BB" w:rsidRDefault="00A722BB" w:rsidP="007E1EE0">
      <w:r>
        <w:separator/>
      </w:r>
    </w:p>
  </w:footnote>
  <w:footnote w:type="continuationSeparator" w:id="0">
    <w:p w:rsidR="00A722BB" w:rsidRDefault="00A722BB" w:rsidP="007E1EE0">
      <w:r>
        <w:continuationSeparator/>
      </w:r>
    </w:p>
  </w:footnote>
  <w:footnote w:id="1">
    <w:p w:rsidR="00382158" w:rsidRDefault="00382158">
      <w:pPr>
        <w:pStyle w:val="FootnoteText"/>
      </w:pPr>
      <w:r>
        <w:rPr>
          <w:rStyle w:val="FootnoteReference"/>
        </w:rPr>
        <w:footnoteRef/>
      </w:r>
      <w:r>
        <w:t xml:space="preserve"> For these purposes the definition of what constitutes NHS is as defined by the Health Service ACT 2006 </w:t>
      </w:r>
      <w:proofErr w:type="spellStart"/>
      <w:r>
        <w:t>ie</w:t>
      </w:r>
      <w:proofErr w:type="spellEnd"/>
      <w:r>
        <w:t xml:space="preserve"> it includes public health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62F" w:rsidRDefault="00CD5C40" w:rsidP="007E1EE0">
    <w:pPr>
      <w:pStyle w:val="Header"/>
    </w:pPr>
    <w:r>
      <w:rPr>
        <w:noProof/>
        <w:lang w:eastAsia="en-GB"/>
      </w:rPr>
      <w:drawing>
        <wp:anchor distT="0" distB="0" distL="114300" distR="114300" simplePos="0" relativeHeight="251660288" behindDoc="0" locked="0" layoutInCell="1" allowOverlap="1" wp14:anchorId="56194905" wp14:editId="23131C56">
          <wp:simplePos x="0" y="0"/>
          <wp:positionH relativeFrom="margin">
            <wp:posOffset>-110490</wp:posOffset>
          </wp:positionH>
          <wp:positionV relativeFrom="margin">
            <wp:posOffset>-1138555</wp:posOffset>
          </wp:positionV>
          <wp:extent cx="1441450" cy="914400"/>
          <wp:effectExtent l="0" t="0" r="6350" b="0"/>
          <wp:wrapSquare wrapText="bothSides"/>
          <wp:docPr id="1" name="Picture 1" descr="PHE_3268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_3268_SML_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376"/>
    <w:multiLevelType w:val="hybridMultilevel"/>
    <w:tmpl w:val="338E19E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087645FD"/>
    <w:multiLevelType w:val="hybridMultilevel"/>
    <w:tmpl w:val="63123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6715A92"/>
    <w:multiLevelType w:val="hybridMultilevel"/>
    <w:tmpl w:val="BD36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1400C8"/>
    <w:multiLevelType w:val="hybridMultilevel"/>
    <w:tmpl w:val="3A7AE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attachedTemplate r:id="rId1"/>
  <w:defaultTabStop w:val="720"/>
  <w:doNotHyphenateCaps/>
  <w:drawingGridHorizontalSpacing w:val="12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40"/>
    <w:rsid w:val="0001276E"/>
    <w:rsid w:val="00036E0A"/>
    <w:rsid w:val="000742C2"/>
    <w:rsid w:val="00096FFC"/>
    <w:rsid w:val="000C50FB"/>
    <w:rsid w:val="000D5B3F"/>
    <w:rsid w:val="000E193A"/>
    <w:rsid w:val="000F1529"/>
    <w:rsid w:val="00112C16"/>
    <w:rsid w:val="00151D61"/>
    <w:rsid w:val="00154084"/>
    <w:rsid w:val="0019479C"/>
    <w:rsid w:val="001F6988"/>
    <w:rsid w:val="002111C8"/>
    <w:rsid w:val="00237976"/>
    <w:rsid w:val="00270D62"/>
    <w:rsid w:val="002C044B"/>
    <w:rsid w:val="002C2E25"/>
    <w:rsid w:val="002E0941"/>
    <w:rsid w:val="00303D9F"/>
    <w:rsid w:val="00382158"/>
    <w:rsid w:val="00394631"/>
    <w:rsid w:val="003A000A"/>
    <w:rsid w:val="003B3383"/>
    <w:rsid w:val="003F071F"/>
    <w:rsid w:val="003F66F5"/>
    <w:rsid w:val="003F7A41"/>
    <w:rsid w:val="00411FD9"/>
    <w:rsid w:val="00415F3E"/>
    <w:rsid w:val="00425B35"/>
    <w:rsid w:val="004B6BD7"/>
    <w:rsid w:val="004B70A8"/>
    <w:rsid w:val="004C40F9"/>
    <w:rsid w:val="004C59E6"/>
    <w:rsid w:val="004E342D"/>
    <w:rsid w:val="00517170"/>
    <w:rsid w:val="005342B6"/>
    <w:rsid w:val="005629A6"/>
    <w:rsid w:val="005752A0"/>
    <w:rsid w:val="0057662F"/>
    <w:rsid w:val="00576873"/>
    <w:rsid w:val="005B0D4C"/>
    <w:rsid w:val="005C6114"/>
    <w:rsid w:val="00636A73"/>
    <w:rsid w:val="0066498D"/>
    <w:rsid w:val="00677382"/>
    <w:rsid w:val="006778CF"/>
    <w:rsid w:val="00696F5B"/>
    <w:rsid w:val="006B1EEC"/>
    <w:rsid w:val="006B42FE"/>
    <w:rsid w:val="006D3FD0"/>
    <w:rsid w:val="006E5C9C"/>
    <w:rsid w:val="006F475B"/>
    <w:rsid w:val="00713811"/>
    <w:rsid w:val="0071771D"/>
    <w:rsid w:val="007229BA"/>
    <w:rsid w:val="007261AC"/>
    <w:rsid w:val="007403F6"/>
    <w:rsid w:val="0075105C"/>
    <w:rsid w:val="00757153"/>
    <w:rsid w:val="00780F04"/>
    <w:rsid w:val="00782683"/>
    <w:rsid w:val="007A5693"/>
    <w:rsid w:val="007C460C"/>
    <w:rsid w:val="007D6212"/>
    <w:rsid w:val="007E1EE0"/>
    <w:rsid w:val="007E5FEC"/>
    <w:rsid w:val="007E6EB2"/>
    <w:rsid w:val="00844C9D"/>
    <w:rsid w:val="00850E60"/>
    <w:rsid w:val="00864BA5"/>
    <w:rsid w:val="00873C15"/>
    <w:rsid w:val="00891799"/>
    <w:rsid w:val="00893C64"/>
    <w:rsid w:val="008A34C2"/>
    <w:rsid w:val="008D6BA4"/>
    <w:rsid w:val="008F3AC3"/>
    <w:rsid w:val="00900854"/>
    <w:rsid w:val="009F0B27"/>
    <w:rsid w:val="00A053AE"/>
    <w:rsid w:val="00A722BB"/>
    <w:rsid w:val="00A72FF4"/>
    <w:rsid w:val="00AB7020"/>
    <w:rsid w:val="00AD51D4"/>
    <w:rsid w:val="00B338EB"/>
    <w:rsid w:val="00B51613"/>
    <w:rsid w:val="00B739B8"/>
    <w:rsid w:val="00B74AED"/>
    <w:rsid w:val="00B95968"/>
    <w:rsid w:val="00BA7808"/>
    <w:rsid w:val="00BE3227"/>
    <w:rsid w:val="00BF13D8"/>
    <w:rsid w:val="00BF28E3"/>
    <w:rsid w:val="00C04FC0"/>
    <w:rsid w:val="00C20E27"/>
    <w:rsid w:val="00C62D09"/>
    <w:rsid w:val="00C6305C"/>
    <w:rsid w:val="00CB5ABF"/>
    <w:rsid w:val="00CD17CE"/>
    <w:rsid w:val="00CD39A5"/>
    <w:rsid w:val="00CD5C40"/>
    <w:rsid w:val="00D24ECB"/>
    <w:rsid w:val="00E13E23"/>
    <w:rsid w:val="00E14D00"/>
    <w:rsid w:val="00E22F16"/>
    <w:rsid w:val="00E70004"/>
    <w:rsid w:val="00E7584C"/>
    <w:rsid w:val="00EA6008"/>
    <w:rsid w:val="00EB260A"/>
    <w:rsid w:val="00EB3E86"/>
    <w:rsid w:val="00EF2678"/>
    <w:rsid w:val="00F65D29"/>
    <w:rsid w:val="00FD0D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iPriority="32" w:unhideWhenUsed="0" w:qFormat="1"/>
    <w:lsdException w:name="Book Title" w:semiHidden="0" w:unhideWhenUsed="0"/>
    <w:lsdException w:name="Bibliography" w:uiPriority="37"/>
    <w:lsdException w:name="TOC Heading" w:uiPriority="39" w:qFormat="1"/>
  </w:latentStyles>
  <w:style w:type="paragraph" w:default="1" w:styleId="Normal">
    <w:name w:val="Normal"/>
    <w:qFormat/>
    <w:rsid w:val="00CD5C40"/>
    <w:pPr>
      <w:spacing w:line="280" w:lineRule="atLeast"/>
    </w:pPr>
    <w:rPr>
      <w:rFonts w:ascii="Arial" w:hAnsi="Arial"/>
      <w:sz w:val="24"/>
      <w:szCs w:val="24"/>
      <w:lang w:val="en-GB"/>
    </w:rPr>
  </w:style>
  <w:style w:type="paragraph" w:styleId="Heading1">
    <w:name w:val="heading 1"/>
    <w:basedOn w:val="Normal"/>
    <w:next w:val="Normal"/>
    <w:link w:val="Heading1Char"/>
    <w:uiPriority w:val="99"/>
    <w:qFormat/>
    <w:rsid w:val="00096FFC"/>
    <w:pPr>
      <w:keepNext/>
      <w:spacing w:before="240" w:after="60"/>
      <w:outlineLvl w:val="0"/>
    </w:pPr>
    <w:rPr>
      <w:rFonts w:eastAsia="Times New Roman"/>
      <w:bCs/>
      <w:kern w:val="32"/>
      <w:sz w:val="40"/>
      <w:szCs w:val="32"/>
    </w:rPr>
  </w:style>
  <w:style w:type="paragraph" w:styleId="Heading2">
    <w:name w:val="heading 2"/>
    <w:basedOn w:val="Normal"/>
    <w:next w:val="Normal"/>
    <w:link w:val="Heading2Char"/>
    <w:uiPriority w:val="99"/>
    <w:qFormat/>
    <w:rsid w:val="00891799"/>
    <w:pPr>
      <w:keepNext/>
      <w:keepLines/>
      <w:spacing w:before="200"/>
      <w:outlineLvl w:val="1"/>
    </w:pPr>
    <w:rPr>
      <w:rFonts w:eastAsia="Times New Roman"/>
      <w:b/>
      <w:bCs/>
      <w:color w:val="000000"/>
      <w:sz w:val="26"/>
      <w:szCs w:val="26"/>
    </w:rPr>
  </w:style>
  <w:style w:type="paragraph" w:styleId="Heading3">
    <w:name w:val="heading 3"/>
    <w:basedOn w:val="Normal"/>
    <w:next w:val="Normal"/>
    <w:link w:val="Heading3Char"/>
    <w:uiPriority w:val="99"/>
    <w:qFormat/>
    <w:rsid w:val="00891799"/>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6FFC"/>
    <w:rPr>
      <w:rFonts w:ascii="Arial" w:hAnsi="Arial" w:cs="Times New Roman"/>
      <w:bCs/>
      <w:kern w:val="32"/>
      <w:sz w:val="32"/>
    </w:rPr>
  </w:style>
  <w:style w:type="character" w:customStyle="1" w:styleId="Heading2Char">
    <w:name w:val="Heading 2 Char"/>
    <w:basedOn w:val="DefaultParagraphFont"/>
    <w:link w:val="Heading2"/>
    <w:uiPriority w:val="99"/>
    <w:rsid w:val="00891799"/>
    <w:rPr>
      <w:rFonts w:ascii="Arial" w:hAnsi="Arial" w:cs="Times New Roman"/>
      <w:b/>
      <w:bCs/>
      <w:color w:val="000000"/>
      <w:sz w:val="26"/>
    </w:rPr>
  </w:style>
  <w:style w:type="character" w:customStyle="1" w:styleId="Heading3Char">
    <w:name w:val="Heading 3 Char"/>
    <w:basedOn w:val="DefaultParagraphFont"/>
    <w:link w:val="Heading3"/>
    <w:uiPriority w:val="99"/>
    <w:semiHidden/>
    <w:rsid w:val="00891799"/>
    <w:rPr>
      <w:rFonts w:ascii="Arial" w:hAnsi="Arial" w:cs="Times New Roman"/>
      <w:b/>
      <w:bCs/>
      <w:sz w:val="24"/>
    </w:rPr>
  </w:style>
  <w:style w:type="paragraph" w:styleId="Header">
    <w:name w:val="header"/>
    <w:basedOn w:val="Normal"/>
    <w:link w:val="HeaderChar"/>
    <w:uiPriority w:val="99"/>
    <w:rsid w:val="00096FFC"/>
    <w:pPr>
      <w:spacing w:line="200" w:lineRule="exact"/>
    </w:pPr>
    <w:rPr>
      <w:sz w:val="16"/>
      <w:szCs w:val="16"/>
    </w:rPr>
  </w:style>
  <w:style w:type="character" w:customStyle="1" w:styleId="HeaderChar">
    <w:name w:val="Header Char"/>
    <w:basedOn w:val="DefaultParagraphFont"/>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eastAsia="Times New Roman" w:hAnsi="Tahoma" w:cs="Tahoma"/>
      <w:sz w:val="16"/>
      <w:lang w:val="en-US"/>
    </w:rPr>
  </w:style>
  <w:style w:type="paragraph" w:styleId="Title">
    <w:name w:val="Title"/>
    <w:basedOn w:val="Normal"/>
    <w:next w:val="Normal"/>
    <w:link w:val="TitleChar"/>
    <w:uiPriority w:val="99"/>
    <w:qFormat/>
    <w:rsid w:val="00891799"/>
    <w:pPr>
      <w:pBdr>
        <w:bottom w:val="single" w:sz="8" w:space="4" w:color="4F81BD"/>
      </w:pBdr>
      <w:spacing w:after="300" w:line="240" w:lineRule="auto"/>
      <w:contextualSpacing/>
    </w:pPr>
    <w:rPr>
      <w:rFonts w:eastAsia="Times New Roman"/>
      <w:color w:val="000000"/>
      <w:spacing w:val="5"/>
      <w:kern w:val="28"/>
      <w:sz w:val="52"/>
      <w:szCs w:val="52"/>
    </w:rPr>
  </w:style>
  <w:style w:type="character" w:customStyle="1" w:styleId="TitleChar">
    <w:name w:val="Title Char"/>
    <w:basedOn w:val="DefaultParagraphFont"/>
    <w:link w:val="Title"/>
    <w:uiPriority w:val="99"/>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qFormat/>
    <w:rsid w:val="00891799"/>
    <w:pPr>
      <w:numPr>
        <w:ilvl w:val="1"/>
      </w:numPr>
    </w:pPr>
    <w:rPr>
      <w:rFonts w:eastAsia="Times New Roman"/>
      <w:i/>
      <w:iCs/>
      <w:spacing w:val="15"/>
    </w:rPr>
  </w:style>
  <w:style w:type="character" w:customStyle="1" w:styleId="SubtitleChar">
    <w:name w:val="Subtitle Char"/>
    <w:basedOn w:val="DefaultParagraphFont"/>
    <w:link w:val="Subtitle"/>
    <w:uiPriority w:val="99"/>
    <w:rsid w:val="00891799"/>
    <w:rPr>
      <w:rFonts w:ascii="Arial" w:hAnsi="Arial" w:cs="Times New Roman"/>
      <w:i/>
      <w:iCs/>
      <w:spacing w:val="15"/>
      <w:sz w:val="24"/>
    </w:rPr>
  </w:style>
  <w:style w:type="character" w:styleId="SubtleEmphasis">
    <w:name w:val="Subtle Emphasis"/>
    <w:basedOn w:val="DefaultParagraphFont"/>
    <w:uiPriority w:val="99"/>
    <w:rsid w:val="00891799"/>
    <w:rPr>
      <w:rFonts w:ascii="Arial" w:hAnsi="Arial" w:cs="Times New Roman"/>
      <w:i/>
      <w:iCs/>
      <w:color w:val="7F7F7F"/>
    </w:rPr>
  </w:style>
  <w:style w:type="character" w:styleId="Emphasis">
    <w:name w:val="Emphasis"/>
    <w:basedOn w:val="DefaultParagraphFont"/>
    <w:uiPriority w:val="99"/>
    <w:qFormat/>
    <w:rsid w:val="00891799"/>
    <w:rPr>
      <w:rFonts w:ascii="Arial" w:hAnsi="Arial" w:cs="Times New Roman"/>
      <w:i/>
      <w:iCs/>
    </w:rPr>
  </w:style>
  <w:style w:type="character" w:styleId="IntenseEmphasis">
    <w:name w:val="Intense Emphasis"/>
    <w:basedOn w:val="DefaultParagraphFont"/>
    <w:uiPriority w:val="99"/>
    <w:rsid w:val="00891799"/>
    <w:rPr>
      <w:rFonts w:cs="Times New Roman"/>
      <w:b/>
      <w:bCs/>
      <w:i/>
      <w:iCs/>
      <w:color w:val="auto"/>
    </w:rPr>
  </w:style>
  <w:style w:type="character" w:styleId="SubtleReference">
    <w:name w:val="Subtle Reference"/>
    <w:basedOn w:val="DefaultParagraphFont"/>
    <w:uiPriority w:val="99"/>
    <w:rsid w:val="00891799"/>
    <w:rPr>
      <w:rFonts w:ascii="Arial" w:hAnsi="Arial" w:cs="Times New Roman"/>
      <w:smallCaps/>
      <w:color w:val="C0504D"/>
      <w:u w:val="single"/>
    </w:rPr>
  </w:style>
  <w:style w:type="character" w:styleId="BookTitle">
    <w:name w:val="Book Title"/>
    <w:basedOn w:val="DefaultParagraphFont"/>
    <w:uiPriority w:val="99"/>
    <w:rsid w:val="00891799"/>
    <w:rPr>
      <w:rFonts w:ascii="Arial" w:hAnsi="Arial" w:cs="Times New Roman"/>
      <w:b/>
      <w:bCs/>
      <w:smallCaps/>
      <w:spacing w:val="5"/>
    </w:rPr>
  </w:style>
  <w:style w:type="paragraph" w:styleId="NoSpacing">
    <w:name w:val="No Spacing"/>
    <w:uiPriority w:val="99"/>
    <w:semiHidden/>
    <w:qFormat/>
    <w:rsid w:val="001F6988"/>
    <w:rPr>
      <w:rFonts w:ascii="Arial" w:hAnsi="Arial"/>
      <w:sz w:val="24"/>
      <w:szCs w:val="24"/>
      <w:lang w:val="en-GB"/>
    </w:rPr>
  </w:style>
  <w:style w:type="character" w:styleId="Hyperlink">
    <w:name w:val="Hyperlink"/>
    <w:basedOn w:val="DefaultParagraphFont"/>
    <w:uiPriority w:val="99"/>
    <w:unhideWhenUsed/>
    <w:rsid w:val="004C40F9"/>
    <w:rPr>
      <w:color w:val="0000FF" w:themeColor="hyperlink"/>
      <w:u w:val="single"/>
    </w:rPr>
  </w:style>
  <w:style w:type="paragraph" w:styleId="EndnoteText">
    <w:name w:val="endnote text"/>
    <w:basedOn w:val="Normal"/>
    <w:link w:val="EndnoteTextChar"/>
    <w:uiPriority w:val="99"/>
    <w:semiHidden/>
    <w:unhideWhenUsed/>
    <w:rsid w:val="00382158"/>
    <w:pPr>
      <w:spacing w:line="240" w:lineRule="auto"/>
    </w:pPr>
    <w:rPr>
      <w:sz w:val="20"/>
      <w:szCs w:val="20"/>
    </w:rPr>
  </w:style>
  <w:style w:type="character" w:customStyle="1" w:styleId="EndnoteTextChar">
    <w:name w:val="Endnote Text Char"/>
    <w:basedOn w:val="DefaultParagraphFont"/>
    <w:link w:val="EndnoteText"/>
    <w:uiPriority w:val="99"/>
    <w:semiHidden/>
    <w:rsid w:val="00382158"/>
    <w:rPr>
      <w:rFonts w:ascii="Arial" w:hAnsi="Arial"/>
      <w:lang w:val="en-GB"/>
    </w:rPr>
  </w:style>
  <w:style w:type="character" w:styleId="EndnoteReference">
    <w:name w:val="endnote reference"/>
    <w:basedOn w:val="DefaultParagraphFont"/>
    <w:uiPriority w:val="99"/>
    <w:semiHidden/>
    <w:unhideWhenUsed/>
    <w:rsid w:val="00382158"/>
    <w:rPr>
      <w:vertAlign w:val="superscript"/>
    </w:rPr>
  </w:style>
  <w:style w:type="paragraph" w:styleId="FootnoteText">
    <w:name w:val="footnote text"/>
    <w:basedOn w:val="Normal"/>
    <w:link w:val="FootnoteTextChar"/>
    <w:uiPriority w:val="99"/>
    <w:semiHidden/>
    <w:unhideWhenUsed/>
    <w:rsid w:val="00382158"/>
    <w:pPr>
      <w:spacing w:line="240" w:lineRule="auto"/>
    </w:pPr>
    <w:rPr>
      <w:sz w:val="20"/>
      <w:szCs w:val="20"/>
    </w:rPr>
  </w:style>
  <w:style w:type="character" w:customStyle="1" w:styleId="FootnoteTextChar">
    <w:name w:val="Footnote Text Char"/>
    <w:basedOn w:val="DefaultParagraphFont"/>
    <w:link w:val="FootnoteText"/>
    <w:uiPriority w:val="99"/>
    <w:semiHidden/>
    <w:rsid w:val="00382158"/>
    <w:rPr>
      <w:rFonts w:ascii="Arial" w:hAnsi="Arial"/>
      <w:lang w:val="en-GB"/>
    </w:rPr>
  </w:style>
  <w:style w:type="character" w:styleId="FootnoteReference">
    <w:name w:val="footnote reference"/>
    <w:basedOn w:val="DefaultParagraphFont"/>
    <w:uiPriority w:val="99"/>
    <w:semiHidden/>
    <w:unhideWhenUsed/>
    <w:rsid w:val="00382158"/>
    <w:rPr>
      <w:vertAlign w:val="superscript"/>
    </w:rPr>
  </w:style>
  <w:style w:type="paragraph" w:styleId="ListParagraph">
    <w:name w:val="List Paragraph"/>
    <w:basedOn w:val="Normal"/>
    <w:uiPriority w:val="34"/>
    <w:qFormat/>
    <w:rsid w:val="004B6BD7"/>
    <w:pPr>
      <w:spacing w:line="240" w:lineRule="auto"/>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iPriority="32" w:unhideWhenUsed="0" w:qFormat="1"/>
    <w:lsdException w:name="Book Title" w:semiHidden="0" w:unhideWhenUsed="0"/>
    <w:lsdException w:name="Bibliography" w:uiPriority="37"/>
    <w:lsdException w:name="TOC Heading" w:uiPriority="39" w:qFormat="1"/>
  </w:latentStyles>
  <w:style w:type="paragraph" w:default="1" w:styleId="Normal">
    <w:name w:val="Normal"/>
    <w:qFormat/>
    <w:rsid w:val="00CD5C40"/>
    <w:pPr>
      <w:spacing w:line="280" w:lineRule="atLeast"/>
    </w:pPr>
    <w:rPr>
      <w:rFonts w:ascii="Arial" w:hAnsi="Arial"/>
      <w:sz w:val="24"/>
      <w:szCs w:val="24"/>
      <w:lang w:val="en-GB"/>
    </w:rPr>
  </w:style>
  <w:style w:type="paragraph" w:styleId="Heading1">
    <w:name w:val="heading 1"/>
    <w:basedOn w:val="Normal"/>
    <w:next w:val="Normal"/>
    <w:link w:val="Heading1Char"/>
    <w:uiPriority w:val="99"/>
    <w:qFormat/>
    <w:rsid w:val="00096FFC"/>
    <w:pPr>
      <w:keepNext/>
      <w:spacing w:before="240" w:after="60"/>
      <w:outlineLvl w:val="0"/>
    </w:pPr>
    <w:rPr>
      <w:rFonts w:eastAsia="Times New Roman"/>
      <w:bCs/>
      <w:kern w:val="32"/>
      <w:sz w:val="40"/>
      <w:szCs w:val="32"/>
    </w:rPr>
  </w:style>
  <w:style w:type="paragraph" w:styleId="Heading2">
    <w:name w:val="heading 2"/>
    <w:basedOn w:val="Normal"/>
    <w:next w:val="Normal"/>
    <w:link w:val="Heading2Char"/>
    <w:uiPriority w:val="99"/>
    <w:qFormat/>
    <w:rsid w:val="00891799"/>
    <w:pPr>
      <w:keepNext/>
      <w:keepLines/>
      <w:spacing w:before="200"/>
      <w:outlineLvl w:val="1"/>
    </w:pPr>
    <w:rPr>
      <w:rFonts w:eastAsia="Times New Roman"/>
      <w:b/>
      <w:bCs/>
      <w:color w:val="000000"/>
      <w:sz w:val="26"/>
      <w:szCs w:val="26"/>
    </w:rPr>
  </w:style>
  <w:style w:type="paragraph" w:styleId="Heading3">
    <w:name w:val="heading 3"/>
    <w:basedOn w:val="Normal"/>
    <w:next w:val="Normal"/>
    <w:link w:val="Heading3Char"/>
    <w:uiPriority w:val="99"/>
    <w:qFormat/>
    <w:rsid w:val="00891799"/>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6FFC"/>
    <w:rPr>
      <w:rFonts w:ascii="Arial" w:hAnsi="Arial" w:cs="Times New Roman"/>
      <w:bCs/>
      <w:kern w:val="32"/>
      <w:sz w:val="32"/>
    </w:rPr>
  </w:style>
  <w:style w:type="character" w:customStyle="1" w:styleId="Heading2Char">
    <w:name w:val="Heading 2 Char"/>
    <w:basedOn w:val="DefaultParagraphFont"/>
    <w:link w:val="Heading2"/>
    <w:uiPriority w:val="99"/>
    <w:rsid w:val="00891799"/>
    <w:rPr>
      <w:rFonts w:ascii="Arial" w:hAnsi="Arial" w:cs="Times New Roman"/>
      <w:b/>
      <w:bCs/>
      <w:color w:val="000000"/>
      <w:sz w:val="26"/>
    </w:rPr>
  </w:style>
  <w:style w:type="character" w:customStyle="1" w:styleId="Heading3Char">
    <w:name w:val="Heading 3 Char"/>
    <w:basedOn w:val="DefaultParagraphFont"/>
    <w:link w:val="Heading3"/>
    <w:uiPriority w:val="99"/>
    <w:semiHidden/>
    <w:rsid w:val="00891799"/>
    <w:rPr>
      <w:rFonts w:ascii="Arial" w:hAnsi="Arial" w:cs="Times New Roman"/>
      <w:b/>
      <w:bCs/>
      <w:sz w:val="24"/>
    </w:rPr>
  </w:style>
  <w:style w:type="paragraph" w:styleId="Header">
    <w:name w:val="header"/>
    <w:basedOn w:val="Normal"/>
    <w:link w:val="HeaderChar"/>
    <w:uiPriority w:val="99"/>
    <w:rsid w:val="00096FFC"/>
    <w:pPr>
      <w:spacing w:line="200" w:lineRule="exact"/>
    </w:pPr>
    <w:rPr>
      <w:sz w:val="16"/>
      <w:szCs w:val="16"/>
    </w:rPr>
  </w:style>
  <w:style w:type="character" w:customStyle="1" w:styleId="HeaderChar">
    <w:name w:val="Header Char"/>
    <w:basedOn w:val="DefaultParagraphFont"/>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eastAsia="Times New Roman" w:hAnsi="Tahoma" w:cs="Tahoma"/>
      <w:sz w:val="16"/>
      <w:lang w:val="en-US"/>
    </w:rPr>
  </w:style>
  <w:style w:type="paragraph" w:styleId="Title">
    <w:name w:val="Title"/>
    <w:basedOn w:val="Normal"/>
    <w:next w:val="Normal"/>
    <w:link w:val="TitleChar"/>
    <w:uiPriority w:val="99"/>
    <w:qFormat/>
    <w:rsid w:val="00891799"/>
    <w:pPr>
      <w:pBdr>
        <w:bottom w:val="single" w:sz="8" w:space="4" w:color="4F81BD"/>
      </w:pBdr>
      <w:spacing w:after="300" w:line="240" w:lineRule="auto"/>
      <w:contextualSpacing/>
    </w:pPr>
    <w:rPr>
      <w:rFonts w:eastAsia="Times New Roman"/>
      <w:color w:val="000000"/>
      <w:spacing w:val="5"/>
      <w:kern w:val="28"/>
      <w:sz w:val="52"/>
      <w:szCs w:val="52"/>
    </w:rPr>
  </w:style>
  <w:style w:type="character" w:customStyle="1" w:styleId="TitleChar">
    <w:name w:val="Title Char"/>
    <w:basedOn w:val="DefaultParagraphFont"/>
    <w:link w:val="Title"/>
    <w:uiPriority w:val="99"/>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qFormat/>
    <w:rsid w:val="00891799"/>
    <w:pPr>
      <w:numPr>
        <w:ilvl w:val="1"/>
      </w:numPr>
    </w:pPr>
    <w:rPr>
      <w:rFonts w:eastAsia="Times New Roman"/>
      <w:i/>
      <w:iCs/>
      <w:spacing w:val="15"/>
    </w:rPr>
  </w:style>
  <w:style w:type="character" w:customStyle="1" w:styleId="SubtitleChar">
    <w:name w:val="Subtitle Char"/>
    <w:basedOn w:val="DefaultParagraphFont"/>
    <w:link w:val="Subtitle"/>
    <w:uiPriority w:val="99"/>
    <w:rsid w:val="00891799"/>
    <w:rPr>
      <w:rFonts w:ascii="Arial" w:hAnsi="Arial" w:cs="Times New Roman"/>
      <w:i/>
      <w:iCs/>
      <w:spacing w:val="15"/>
      <w:sz w:val="24"/>
    </w:rPr>
  </w:style>
  <w:style w:type="character" w:styleId="SubtleEmphasis">
    <w:name w:val="Subtle Emphasis"/>
    <w:basedOn w:val="DefaultParagraphFont"/>
    <w:uiPriority w:val="99"/>
    <w:rsid w:val="00891799"/>
    <w:rPr>
      <w:rFonts w:ascii="Arial" w:hAnsi="Arial" w:cs="Times New Roman"/>
      <w:i/>
      <w:iCs/>
      <w:color w:val="7F7F7F"/>
    </w:rPr>
  </w:style>
  <w:style w:type="character" w:styleId="Emphasis">
    <w:name w:val="Emphasis"/>
    <w:basedOn w:val="DefaultParagraphFont"/>
    <w:uiPriority w:val="99"/>
    <w:qFormat/>
    <w:rsid w:val="00891799"/>
    <w:rPr>
      <w:rFonts w:ascii="Arial" w:hAnsi="Arial" w:cs="Times New Roman"/>
      <w:i/>
      <w:iCs/>
    </w:rPr>
  </w:style>
  <w:style w:type="character" w:styleId="IntenseEmphasis">
    <w:name w:val="Intense Emphasis"/>
    <w:basedOn w:val="DefaultParagraphFont"/>
    <w:uiPriority w:val="99"/>
    <w:rsid w:val="00891799"/>
    <w:rPr>
      <w:rFonts w:cs="Times New Roman"/>
      <w:b/>
      <w:bCs/>
      <w:i/>
      <w:iCs/>
      <w:color w:val="auto"/>
    </w:rPr>
  </w:style>
  <w:style w:type="character" w:styleId="SubtleReference">
    <w:name w:val="Subtle Reference"/>
    <w:basedOn w:val="DefaultParagraphFont"/>
    <w:uiPriority w:val="99"/>
    <w:rsid w:val="00891799"/>
    <w:rPr>
      <w:rFonts w:ascii="Arial" w:hAnsi="Arial" w:cs="Times New Roman"/>
      <w:smallCaps/>
      <w:color w:val="C0504D"/>
      <w:u w:val="single"/>
    </w:rPr>
  </w:style>
  <w:style w:type="character" w:styleId="BookTitle">
    <w:name w:val="Book Title"/>
    <w:basedOn w:val="DefaultParagraphFont"/>
    <w:uiPriority w:val="99"/>
    <w:rsid w:val="00891799"/>
    <w:rPr>
      <w:rFonts w:ascii="Arial" w:hAnsi="Arial" w:cs="Times New Roman"/>
      <w:b/>
      <w:bCs/>
      <w:smallCaps/>
      <w:spacing w:val="5"/>
    </w:rPr>
  </w:style>
  <w:style w:type="paragraph" w:styleId="NoSpacing">
    <w:name w:val="No Spacing"/>
    <w:uiPriority w:val="99"/>
    <w:semiHidden/>
    <w:qFormat/>
    <w:rsid w:val="001F6988"/>
    <w:rPr>
      <w:rFonts w:ascii="Arial" w:hAnsi="Arial"/>
      <w:sz w:val="24"/>
      <w:szCs w:val="24"/>
      <w:lang w:val="en-GB"/>
    </w:rPr>
  </w:style>
  <w:style w:type="character" w:styleId="Hyperlink">
    <w:name w:val="Hyperlink"/>
    <w:basedOn w:val="DefaultParagraphFont"/>
    <w:uiPriority w:val="99"/>
    <w:unhideWhenUsed/>
    <w:rsid w:val="004C40F9"/>
    <w:rPr>
      <w:color w:val="0000FF" w:themeColor="hyperlink"/>
      <w:u w:val="single"/>
    </w:rPr>
  </w:style>
  <w:style w:type="paragraph" w:styleId="EndnoteText">
    <w:name w:val="endnote text"/>
    <w:basedOn w:val="Normal"/>
    <w:link w:val="EndnoteTextChar"/>
    <w:uiPriority w:val="99"/>
    <w:semiHidden/>
    <w:unhideWhenUsed/>
    <w:rsid w:val="00382158"/>
    <w:pPr>
      <w:spacing w:line="240" w:lineRule="auto"/>
    </w:pPr>
    <w:rPr>
      <w:sz w:val="20"/>
      <w:szCs w:val="20"/>
    </w:rPr>
  </w:style>
  <w:style w:type="character" w:customStyle="1" w:styleId="EndnoteTextChar">
    <w:name w:val="Endnote Text Char"/>
    <w:basedOn w:val="DefaultParagraphFont"/>
    <w:link w:val="EndnoteText"/>
    <w:uiPriority w:val="99"/>
    <w:semiHidden/>
    <w:rsid w:val="00382158"/>
    <w:rPr>
      <w:rFonts w:ascii="Arial" w:hAnsi="Arial"/>
      <w:lang w:val="en-GB"/>
    </w:rPr>
  </w:style>
  <w:style w:type="character" w:styleId="EndnoteReference">
    <w:name w:val="endnote reference"/>
    <w:basedOn w:val="DefaultParagraphFont"/>
    <w:uiPriority w:val="99"/>
    <w:semiHidden/>
    <w:unhideWhenUsed/>
    <w:rsid w:val="00382158"/>
    <w:rPr>
      <w:vertAlign w:val="superscript"/>
    </w:rPr>
  </w:style>
  <w:style w:type="paragraph" w:styleId="FootnoteText">
    <w:name w:val="footnote text"/>
    <w:basedOn w:val="Normal"/>
    <w:link w:val="FootnoteTextChar"/>
    <w:uiPriority w:val="99"/>
    <w:semiHidden/>
    <w:unhideWhenUsed/>
    <w:rsid w:val="00382158"/>
    <w:pPr>
      <w:spacing w:line="240" w:lineRule="auto"/>
    </w:pPr>
    <w:rPr>
      <w:sz w:val="20"/>
      <w:szCs w:val="20"/>
    </w:rPr>
  </w:style>
  <w:style w:type="character" w:customStyle="1" w:styleId="FootnoteTextChar">
    <w:name w:val="Footnote Text Char"/>
    <w:basedOn w:val="DefaultParagraphFont"/>
    <w:link w:val="FootnoteText"/>
    <w:uiPriority w:val="99"/>
    <w:semiHidden/>
    <w:rsid w:val="00382158"/>
    <w:rPr>
      <w:rFonts w:ascii="Arial" w:hAnsi="Arial"/>
      <w:lang w:val="en-GB"/>
    </w:rPr>
  </w:style>
  <w:style w:type="character" w:styleId="FootnoteReference">
    <w:name w:val="footnote reference"/>
    <w:basedOn w:val="DefaultParagraphFont"/>
    <w:uiPriority w:val="99"/>
    <w:semiHidden/>
    <w:unhideWhenUsed/>
    <w:rsid w:val="00382158"/>
    <w:rPr>
      <w:vertAlign w:val="superscript"/>
    </w:rPr>
  </w:style>
  <w:style w:type="paragraph" w:styleId="ListParagraph">
    <w:name w:val="List Paragraph"/>
    <w:basedOn w:val="Normal"/>
    <w:uiPriority w:val="34"/>
    <w:qFormat/>
    <w:rsid w:val="004B6BD7"/>
    <w:pPr>
      <w:spacing w:line="240" w:lineRule="auto"/>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6011">
      <w:bodyDiv w:val="1"/>
      <w:marLeft w:val="0"/>
      <w:marRight w:val="0"/>
      <w:marTop w:val="0"/>
      <w:marBottom w:val="0"/>
      <w:divBdr>
        <w:top w:val="none" w:sz="0" w:space="0" w:color="auto"/>
        <w:left w:val="none" w:sz="0" w:space="0" w:color="auto"/>
        <w:bottom w:val="none" w:sz="0" w:space="0" w:color="auto"/>
        <w:right w:val="none" w:sz="0" w:space="0" w:color="auto"/>
      </w:divBdr>
    </w:div>
    <w:div w:id="71558977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ea2013@ph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hodgkiss\Downloads\Plain-documen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547DEF730D74EA5543201242B40D3" ma:contentTypeVersion="2" ma:contentTypeDescription="Create a new document." ma:contentTypeScope="" ma:versionID="90abed70ebe52a91dc341b84b028ecb3">
  <xsd:schema xmlns:xsd="http://www.w3.org/2001/XMLSchema" xmlns:xs="http://www.w3.org/2001/XMLSchema" xmlns:p="http://schemas.microsoft.com/office/2006/metadata/properties" xmlns:ns1="http://schemas.microsoft.com/sharepoint/v3" targetNamespace="http://schemas.microsoft.com/office/2006/metadata/properties" ma:root="true" ma:fieldsID="814c3b335b53ce6b9a41890f168eae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6D6ED-7055-4226-8068-A12224D4E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447CA-17C0-48CE-8D06-8E07EF77C63D}">
  <ds:schemaRefs>
    <ds:schemaRef ds:uri="http://schemas.microsoft.com/sharepoint/v3/contenttype/forms"/>
  </ds:schemaRefs>
</ds:datastoreItem>
</file>

<file path=customXml/itemProps3.xml><?xml version="1.0" encoding="utf-8"?>
<ds:datastoreItem xmlns:ds="http://schemas.openxmlformats.org/officeDocument/2006/customXml" ds:itemID="{09C020ED-6A59-46E5-878F-11213BF0555A}">
  <ds:schemaRefs>
    <ds:schemaRef ds:uri="http://schemas.microsoft.com/office/2006/documentManagement/types"/>
    <ds:schemaRef ds:uri="http://purl.org/dc/terms/"/>
    <ds:schemaRef ds:uri="http://purl.org/dc/dcmitype/"/>
    <ds:schemaRef ds:uri="http://purl.org/dc/elements/1.1/"/>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18B99E0-FEA9-412D-B8C6-EA6B9604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Plain-document (1).dotx</Template>
  <TotalTime>16</TotalTime>
  <Pages>5</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Plain document</vt:lpstr>
    </vt:vector>
  </TitlesOfParts>
  <Company/>
  <LinksUpToDate>false</LinksUpToDate>
  <CharactersWithSpaces>8027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document</dc:title>
  <dc:creator>Administrator</dc:creator>
  <cp:lastModifiedBy>Philip Hemmings</cp:lastModifiedBy>
  <cp:revision>9</cp:revision>
  <dcterms:created xsi:type="dcterms:W3CDTF">2013-06-27T11:43:00Z</dcterms:created>
  <dcterms:modified xsi:type="dcterms:W3CDTF">2013-07-19T11:27:00Z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0x010100855547DEF730D74EA5543201242B40D3</vt:lpwstr>
  </property>
  <property fmtid="{D5CDD505-2E9C-101B-9397-08002B2CF9AE}" pid="3" name="Order">
    <vt:r8>9700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