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8A" w:rsidRPr="00A93C88" w:rsidRDefault="007A378A" w:rsidP="009B234A">
      <w:pPr>
        <w:pStyle w:val="DocTitle"/>
        <w:rPr>
          <w:b/>
          <w:sz w:val="40"/>
          <w:szCs w:val="40"/>
        </w:rPr>
      </w:pPr>
      <w:bookmarkStart w:id="0" w:name="DocTitle"/>
      <w:r w:rsidRPr="00A93C88">
        <w:rPr>
          <w:b/>
          <w:sz w:val="40"/>
          <w:szCs w:val="40"/>
        </w:rPr>
        <w:t>Review of Lower Thames Crossing Capacity Options</w:t>
      </w:r>
      <w:bookmarkEnd w:id="0"/>
    </w:p>
    <w:p w:rsidR="007A378A" w:rsidRPr="00A93C88" w:rsidRDefault="007A378A" w:rsidP="00F96876">
      <w:pPr>
        <w:rPr>
          <w:b/>
          <w:sz w:val="40"/>
          <w:szCs w:val="40"/>
        </w:rPr>
      </w:pPr>
      <w:r>
        <w:rPr>
          <w:b/>
          <w:sz w:val="40"/>
          <w:szCs w:val="40"/>
        </w:rPr>
        <w:t>Output 3</w:t>
      </w:r>
      <w:r w:rsidRPr="00A93C88">
        <w:rPr>
          <w:b/>
          <w:sz w:val="40"/>
          <w:szCs w:val="40"/>
        </w:rPr>
        <w:t xml:space="preserve">: </w:t>
      </w:r>
      <w:r>
        <w:rPr>
          <w:b/>
          <w:sz w:val="40"/>
          <w:szCs w:val="40"/>
        </w:rPr>
        <w:t>Operating Costs, Maintenance Costs</w:t>
      </w:r>
      <w:r w:rsidRPr="00A93C88">
        <w:rPr>
          <w:b/>
          <w:sz w:val="40"/>
          <w:szCs w:val="40"/>
        </w:rPr>
        <w:t xml:space="preserve"> </w:t>
      </w:r>
      <w:r>
        <w:rPr>
          <w:b/>
          <w:sz w:val="40"/>
          <w:szCs w:val="40"/>
        </w:rPr>
        <w:t xml:space="preserve">and Revenues </w:t>
      </w:r>
      <w:r w:rsidRPr="00A93C88">
        <w:rPr>
          <w:b/>
          <w:sz w:val="40"/>
          <w:szCs w:val="40"/>
        </w:rPr>
        <w:t>Report</w:t>
      </w:r>
    </w:p>
    <w:p w:rsidR="007A378A" w:rsidRPr="001279C6" w:rsidRDefault="008110D9">
      <w:pPr>
        <w:rPr>
          <w:sz w:val="20"/>
          <w:szCs w:val="20"/>
        </w:rPr>
        <w:sectPr w:rsidR="007A378A" w:rsidRPr="001279C6" w:rsidSect="007323AF">
          <w:headerReference w:type="default" r:id="rId8"/>
          <w:footerReference w:type="default" r:id="rId9"/>
          <w:pgSz w:w="11907" w:h="16840" w:code="9"/>
          <w:pgMar w:top="-3640" w:right="709" w:bottom="1729" w:left="907" w:header="709" w:footer="113" w:gutter="0"/>
          <w:cols w:space="720"/>
          <w:docGrid w:linePitch="360"/>
        </w:sectPr>
      </w:pPr>
      <w:r w:rsidRPr="008110D9">
        <w:rPr>
          <w:sz w:val="20"/>
          <w:szCs w:val="20"/>
        </w:rPr>
        <w:drawing>
          <wp:anchor distT="0" distB="0" distL="114300" distR="114300" simplePos="0" relativeHeight="251661312" behindDoc="0" locked="0" layoutInCell="1" allowOverlap="1">
            <wp:simplePos x="0" y="0"/>
            <wp:positionH relativeFrom="column">
              <wp:posOffset>-328295</wp:posOffset>
            </wp:positionH>
            <wp:positionV relativeFrom="paragraph">
              <wp:posOffset>609600</wp:posOffset>
            </wp:positionV>
            <wp:extent cx="7086600" cy="641032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086600" cy="6410325"/>
                    </a:xfrm>
                    <a:prstGeom prst="rect">
                      <a:avLst/>
                    </a:prstGeom>
                    <a:noFill/>
                  </pic:spPr>
                </pic:pic>
              </a:graphicData>
            </a:graphic>
          </wp:anchor>
        </w:drawing>
      </w:r>
    </w:p>
    <w:p w:rsidR="007A378A" w:rsidRPr="001279C6" w:rsidRDefault="00D64405">
      <w:pPr>
        <w:tabs>
          <w:tab w:val="left" w:pos="1418"/>
          <w:tab w:val="left" w:leader="dot" w:pos="4536"/>
          <w:tab w:val="left" w:pos="5103"/>
          <w:tab w:val="left" w:pos="6521"/>
          <w:tab w:val="left" w:leader="dot" w:pos="10206"/>
        </w:tabs>
        <w:rPr>
          <w:sz w:val="20"/>
          <w:szCs w:val="20"/>
        </w:rPr>
      </w:pPr>
      <w:bookmarkStart w:id="4" w:name="IMSPage"/>
      <w:r>
        <w:rPr>
          <w:noProof/>
          <w:lang w:val="en-US"/>
        </w:rPr>
        <w:lastRenderedPageBreak/>
        <w:drawing>
          <wp:anchor distT="0" distB="0" distL="114300" distR="114300" simplePos="0" relativeHeight="251659264" behindDoc="1" locked="0" layoutInCell="1" allowOverlap="1">
            <wp:simplePos x="0" y="0"/>
            <wp:positionH relativeFrom="column">
              <wp:posOffset>4297045</wp:posOffset>
            </wp:positionH>
            <wp:positionV relativeFrom="paragraph">
              <wp:posOffset>-467360</wp:posOffset>
            </wp:positionV>
            <wp:extent cx="1336040" cy="488950"/>
            <wp:effectExtent l="19050" t="0" r="0" b="0"/>
            <wp:wrapNone/>
            <wp:docPr id="4" name="Picture 2" descr="Paul H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Hanson"/>
                    <pic:cNvPicPr>
                      <a:picLocks noChangeAspect="1" noChangeArrowheads="1"/>
                    </pic:cNvPicPr>
                  </pic:nvPicPr>
                  <pic:blipFill>
                    <a:blip r:embed="rId11"/>
                    <a:srcRect/>
                    <a:stretch>
                      <a:fillRect/>
                    </a:stretch>
                  </pic:blipFill>
                  <pic:spPr bwMode="auto">
                    <a:xfrm>
                      <a:off x="0" y="0"/>
                      <a:ext cx="1336040" cy="488950"/>
                    </a:xfrm>
                    <a:prstGeom prst="rect">
                      <a:avLst/>
                    </a:prstGeom>
                    <a:noFill/>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873125</wp:posOffset>
            </wp:positionH>
            <wp:positionV relativeFrom="paragraph">
              <wp:posOffset>-1189990</wp:posOffset>
            </wp:positionV>
            <wp:extent cx="2208530" cy="1139825"/>
            <wp:effectExtent l="19050" t="0" r="1270" b="0"/>
            <wp:wrapSquare wrapText="bothSides"/>
            <wp:docPr id="5" name="Picture 17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age002"/>
                    <pic:cNvPicPr>
                      <a:picLocks noChangeAspect="1" noChangeArrowheads="1"/>
                    </pic:cNvPicPr>
                  </pic:nvPicPr>
                  <pic:blipFill>
                    <a:blip r:embed="rId12"/>
                    <a:srcRect l="8887" r="6900" b="9480"/>
                    <a:stretch>
                      <a:fillRect/>
                    </a:stretch>
                  </pic:blipFill>
                  <pic:spPr bwMode="auto">
                    <a:xfrm>
                      <a:off x="0" y="0"/>
                      <a:ext cx="2208530" cy="1139825"/>
                    </a:xfrm>
                    <a:prstGeom prst="rect">
                      <a:avLst/>
                    </a:prstGeom>
                    <a:noFill/>
                  </pic:spPr>
                </pic:pic>
              </a:graphicData>
            </a:graphic>
          </wp:anchor>
        </w:drawing>
      </w:r>
      <w:r w:rsidR="007A378A" w:rsidRPr="001279C6">
        <w:rPr>
          <w:sz w:val="20"/>
          <w:szCs w:val="20"/>
        </w:rPr>
        <w:t>Prepared by:</w:t>
      </w:r>
      <w:r w:rsidR="007A378A" w:rsidRPr="001279C6">
        <w:rPr>
          <w:sz w:val="20"/>
          <w:szCs w:val="20"/>
        </w:rPr>
        <w:tab/>
      </w:r>
      <w:r w:rsidR="007A378A" w:rsidRPr="001279C6">
        <w:rPr>
          <w:sz w:val="20"/>
          <w:szCs w:val="20"/>
        </w:rPr>
        <w:tab/>
      </w:r>
      <w:r w:rsidR="007A378A" w:rsidRPr="001279C6">
        <w:rPr>
          <w:sz w:val="20"/>
          <w:szCs w:val="20"/>
        </w:rPr>
        <w:tab/>
        <w:t>Checked by:</w:t>
      </w:r>
      <w:r w:rsidR="007A378A" w:rsidRPr="001279C6">
        <w:rPr>
          <w:sz w:val="20"/>
          <w:szCs w:val="20"/>
        </w:rPr>
        <w:tab/>
      </w:r>
      <w:r w:rsidR="007A378A" w:rsidRPr="001279C6">
        <w:rPr>
          <w:sz w:val="20"/>
          <w:szCs w:val="20"/>
        </w:rPr>
        <w:tab/>
      </w:r>
    </w:p>
    <w:p w:rsidR="007A378A" w:rsidRPr="001279C6" w:rsidRDefault="007A378A">
      <w:pPr>
        <w:tabs>
          <w:tab w:val="left" w:pos="1418"/>
          <w:tab w:val="left" w:pos="6521"/>
        </w:tabs>
        <w:rPr>
          <w:sz w:val="20"/>
          <w:szCs w:val="20"/>
        </w:rPr>
      </w:pPr>
      <w:r w:rsidRPr="001279C6">
        <w:rPr>
          <w:sz w:val="20"/>
          <w:szCs w:val="20"/>
        </w:rPr>
        <w:tab/>
        <w:t>Richard Lyon</w:t>
      </w:r>
      <w:r w:rsidRPr="001279C6">
        <w:rPr>
          <w:sz w:val="20"/>
          <w:szCs w:val="20"/>
        </w:rPr>
        <w:tab/>
      </w:r>
      <w:r>
        <w:rPr>
          <w:sz w:val="20"/>
          <w:szCs w:val="20"/>
        </w:rPr>
        <w:t>Paul Hanson</w:t>
      </w:r>
    </w:p>
    <w:p w:rsidR="007A378A" w:rsidRPr="001279C6" w:rsidRDefault="007A378A">
      <w:pPr>
        <w:tabs>
          <w:tab w:val="left" w:pos="1418"/>
          <w:tab w:val="left" w:pos="6521"/>
        </w:tabs>
        <w:rPr>
          <w:sz w:val="20"/>
          <w:szCs w:val="20"/>
        </w:rPr>
      </w:pPr>
      <w:r w:rsidRPr="001279C6">
        <w:rPr>
          <w:sz w:val="20"/>
          <w:szCs w:val="20"/>
        </w:rPr>
        <w:tab/>
        <w:t>Associate Director</w:t>
      </w:r>
      <w:r w:rsidRPr="001279C6">
        <w:rPr>
          <w:sz w:val="20"/>
          <w:szCs w:val="20"/>
        </w:rPr>
        <w:tab/>
      </w:r>
      <w:r>
        <w:rPr>
          <w:sz w:val="20"/>
          <w:szCs w:val="20"/>
        </w:rPr>
        <w:t>Region</w:t>
      </w:r>
      <w:r w:rsidRPr="001279C6">
        <w:rPr>
          <w:sz w:val="20"/>
          <w:szCs w:val="20"/>
        </w:rPr>
        <w:t>al Director</w:t>
      </w:r>
    </w:p>
    <w:p w:rsidR="007A378A" w:rsidRPr="001279C6" w:rsidRDefault="007A378A">
      <w:pPr>
        <w:tabs>
          <w:tab w:val="left" w:pos="1701"/>
          <w:tab w:val="left" w:pos="6237"/>
        </w:tabs>
        <w:rPr>
          <w:sz w:val="20"/>
          <w:szCs w:val="20"/>
        </w:rPr>
      </w:pPr>
    </w:p>
    <w:p w:rsidR="007A378A" w:rsidRDefault="00D64405">
      <w:pPr>
        <w:tabs>
          <w:tab w:val="left" w:pos="1701"/>
          <w:tab w:val="left" w:pos="6237"/>
        </w:tabs>
        <w:rPr>
          <w:sz w:val="20"/>
          <w:szCs w:val="20"/>
        </w:rPr>
      </w:pPr>
      <w:r>
        <w:rPr>
          <w:noProof/>
          <w:lang w:val="en-US"/>
        </w:rPr>
        <w:drawing>
          <wp:anchor distT="0" distB="0" distL="114300" distR="114300" simplePos="0" relativeHeight="251657216" behindDoc="0" locked="0" layoutInCell="1" allowOverlap="1">
            <wp:simplePos x="0" y="0"/>
            <wp:positionH relativeFrom="column">
              <wp:posOffset>976630</wp:posOffset>
            </wp:positionH>
            <wp:positionV relativeFrom="paragraph">
              <wp:posOffset>107950</wp:posOffset>
            </wp:positionV>
            <wp:extent cx="1319530" cy="516255"/>
            <wp:effectExtent l="19050" t="0" r="0" b="0"/>
            <wp:wrapSquare wrapText="bothSides"/>
            <wp:docPr id="6"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srcRect b="16872"/>
                    <a:stretch>
                      <a:fillRect/>
                    </a:stretch>
                  </pic:blipFill>
                  <pic:spPr bwMode="auto">
                    <a:xfrm>
                      <a:off x="0" y="0"/>
                      <a:ext cx="1319530" cy="516255"/>
                    </a:xfrm>
                    <a:prstGeom prst="rect">
                      <a:avLst/>
                    </a:prstGeom>
                    <a:noFill/>
                  </pic:spPr>
                </pic:pic>
              </a:graphicData>
            </a:graphic>
          </wp:anchor>
        </w:drawing>
      </w:r>
    </w:p>
    <w:p w:rsidR="007A378A" w:rsidRDefault="007A378A">
      <w:pPr>
        <w:tabs>
          <w:tab w:val="left" w:pos="1701"/>
          <w:tab w:val="left" w:pos="6237"/>
        </w:tabs>
        <w:rPr>
          <w:sz w:val="20"/>
          <w:szCs w:val="20"/>
        </w:rPr>
      </w:pPr>
    </w:p>
    <w:p w:rsidR="007A378A" w:rsidRDefault="007A378A">
      <w:pPr>
        <w:tabs>
          <w:tab w:val="left" w:pos="1701"/>
          <w:tab w:val="left" w:pos="6237"/>
        </w:tabs>
        <w:rPr>
          <w:sz w:val="20"/>
          <w:szCs w:val="20"/>
        </w:rPr>
      </w:pPr>
    </w:p>
    <w:p w:rsidR="007A378A" w:rsidRDefault="007A378A">
      <w:pPr>
        <w:tabs>
          <w:tab w:val="left" w:pos="1701"/>
          <w:tab w:val="left" w:pos="6237"/>
        </w:tabs>
        <w:rPr>
          <w:sz w:val="20"/>
          <w:szCs w:val="20"/>
        </w:rPr>
      </w:pPr>
    </w:p>
    <w:p w:rsidR="007A378A" w:rsidRPr="001279C6" w:rsidRDefault="007A378A">
      <w:pPr>
        <w:tabs>
          <w:tab w:val="left" w:pos="1701"/>
          <w:tab w:val="left" w:pos="6237"/>
        </w:tabs>
        <w:rPr>
          <w:sz w:val="20"/>
          <w:szCs w:val="20"/>
        </w:rPr>
      </w:pPr>
    </w:p>
    <w:p w:rsidR="007A378A" w:rsidRPr="001279C6" w:rsidRDefault="007A378A">
      <w:pPr>
        <w:tabs>
          <w:tab w:val="left" w:pos="1418"/>
          <w:tab w:val="left" w:leader="dot" w:pos="4536"/>
          <w:tab w:val="left" w:pos="5103"/>
          <w:tab w:val="left" w:pos="6521"/>
          <w:tab w:val="left" w:leader="dot" w:pos="10206"/>
        </w:tabs>
        <w:rPr>
          <w:sz w:val="20"/>
          <w:szCs w:val="20"/>
        </w:rPr>
      </w:pPr>
      <w:r w:rsidRPr="001279C6">
        <w:rPr>
          <w:sz w:val="20"/>
          <w:szCs w:val="20"/>
        </w:rPr>
        <w:t>Approved by:</w:t>
      </w:r>
      <w:r w:rsidRPr="001279C6">
        <w:rPr>
          <w:sz w:val="20"/>
          <w:szCs w:val="20"/>
        </w:rPr>
        <w:tab/>
      </w:r>
      <w:r w:rsidRPr="001279C6">
        <w:rPr>
          <w:sz w:val="20"/>
          <w:szCs w:val="20"/>
        </w:rPr>
        <w:tab/>
      </w:r>
    </w:p>
    <w:p w:rsidR="007A378A" w:rsidRPr="001279C6" w:rsidRDefault="007A378A">
      <w:pPr>
        <w:tabs>
          <w:tab w:val="left" w:pos="1418"/>
          <w:tab w:val="left" w:pos="6521"/>
        </w:tabs>
        <w:rPr>
          <w:sz w:val="20"/>
          <w:szCs w:val="20"/>
        </w:rPr>
      </w:pPr>
      <w:r w:rsidRPr="001279C6">
        <w:rPr>
          <w:sz w:val="20"/>
          <w:szCs w:val="20"/>
        </w:rPr>
        <w:tab/>
        <w:t>Ian Burrows</w:t>
      </w:r>
    </w:p>
    <w:p w:rsidR="007A378A" w:rsidRPr="001279C6" w:rsidRDefault="007A378A">
      <w:pPr>
        <w:tabs>
          <w:tab w:val="left" w:pos="1418"/>
          <w:tab w:val="left" w:pos="6521"/>
        </w:tabs>
        <w:rPr>
          <w:sz w:val="20"/>
          <w:szCs w:val="20"/>
        </w:rPr>
      </w:pPr>
      <w:r w:rsidRPr="001279C6">
        <w:rPr>
          <w:sz w:val="20"/>
          <w:szCs w:val="20"/>
        </w:rPr>
        <w:tab/>
        <w:t>Associate Director</w:t>
      </w:r>
    </w:p>
    <w:p w:rsidR="007A378A" w:rsidRPr="001279C6" w:rsidRDefault="007A378A">
      <w:pPr>
        <w:tabs>
          <w:tab w:val="left" w:pos="1701"/>
          <w:tab w:val="left" w:pos="6237"/>
        </w:tabs>
        <w:rPr>
          <w:sz w:val="20"/>
          <w:szCs w:val="20"/>
        </w:rPr>
      </w:pPr>
    </w:p>
    <w:p w:rsidR="007A378A" w:rsidRPr="001279C6" w:rsidRDefault="007A378A">
      <w:pPr>
        <w:tabs>
          <w:tab w:val="left" w:pos="1701"/>
          <w:tab w:val="left" w:pos="6237"/>
        </w:tabs>
        <w:rPr>
          <w:sz w:val="20"/>
          <w:szCs w:val="20"/>
        </w:rPr>
      </w:pPr>
    </w:p>
    <w:p w:rsidR="007A378A" w:rsidRPr="001279C6" w:rsidRDefault="007A378A">
      <w:pPr>
        <w:tabs>
          <w:tab w:val="left" w:pos="1701"/>
          <w:tab w:val="left" w:pos="6237"/>
        </w:tabs>
        <w:rPr>
          <w:sz w:val="20"/>
          <w:szCs w:val="20"/>
        </w:rPr>
      </w:pPr>
    </w:p>
    <w:bookmarkStart w:id="5" w:name="IMSDocTitle"/>
    <w:p w:rsidR="007A378A" w:rsidRPr="001279C6" w:rsidRDefault="00EA01C7">
      <w:pPr>
        <w:tabs>
          <w:tab w:val="left" w:pos="1701"/>
          <w:tab w:val="left" w:pos="6237"/>
        </w:tabs>
        <w:rPr>
          <w:sz w:val="20"/>
          <w:szCs w:val="20"/>
        </w:rPr>
      </w:pPr>
      <w:r w:rsidRPr="001279C6">
        <w:rPr>
          <w:sz w:val="20"/>
          <w:szCs w:val="20"/>
        </w:rPr>
        <w:fldChar w:fldCharType="begin"/>
      </w:r>
      <w:r w:rsidR="007A378A" w:rsidRPr="001279C6">
        <w:rPr>
          <w:sz w:val="20"/>
          <w:szCs w:val="20"/>
        </w:rPr>
        <w:instrText xml:space="preserve"> REF DocTitle </w:instrText>
      </w:r>
      <w:r w:rsidR="007A378A">
        <w:rPr>
          <w:sz w:val="20"/>
          <w:szCs w:val="20"/>
        </w:rPr>
        <w:instrText xml:space="preserve"> \* MERGEFORMAT </w:instrText>
      </w:r>
      <w:r w:rsidRPr="001279C6">
        <w:rPr>
          <w:sz w:val="20"/>
          <w:szCs w:val="20"/>
        </w:rPr>
        <w:fldChar w:fldCharType="separate"/>
      </w:r>
      <w:r w:rsidR="00EF3296" w:rsidRPr="00EF3296">
        <w:rPr>
          <w:sz w:val="20"/>
          <w:szCs w:val="20"/>
        </w:rPr>
        <w:t>Review of Lower Thames Crossing Capacity Options</w:t>
      </w:r>
      <w:r w:rsidRPr="001279C6">
        <w:rPr>
          <w:sz w:val="20"/>
          <w:szCs w:val="20"/>
        </w:rPr>
        <w:fldChar w:fldCharType="end"/>
      </w:r>
      <w:r w:rsidR="007A378A" w:rsidRPr="001279C6">
        <w:rPr>
          <w:sz w:val="20"/>
          <w:szCs w:val="20"/>
        </w:rPr>
        <w:t xml:space="preserve">: Output </w:t>
      </w:r>
      <w:r w:rsidR="007A378A">
        <w:rPr>
          <w:sz w:val="20"/>
          <w:szCs w:val="20"/>
        </w:rPr>
        <w:t>3: Operating and Maintenance Costs and Revenues Report</w:t>
      </w:r>
    </w:p>
    <w:bookmarkEnd w:id="5"/>
    <w:p w:rsidR="007A378A" w:rsidRPr="001279C6" w:rsidRDefault="007A378A">
      <w:pPr>
        <w:rPr>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00"/>
        <w:gridCol w:w="5760"/>
        <w:gridCol w:w="1180"/>
        <w:gridCol w:w="1181"/>
        <w:gridCol w:w="1181"/>
      </w:tblGrid>
      <w:tr w:rsidR="007A378A" w:rsidRPr="001279C6">
        <w:trPr>
          <w:cantSplit/>
        </w:trPr>
        <w:tc>
          <w:tcPr>
            <w:tcW w:w="900" w:type="dxa"/>
          </w:tcPr>
          <w:p w:rsidR="007A378A" w:rsidRPr="001279C6" w:rsidRDefault="007A378A" w:rsidP="00665CFE">
            <w:pPr>
              <w:jc w:val="center"/>
              <w:rPr>
                <w:sz w:val="20"/>
                <w:szCs w:val="20"/>
              </w:rPr>
            </w:pPr>
            <w:r w:rsidRPr="001279C6">
              <w:rPr>
                <w:sz w:val="20"/>
                <w:szCs w:val="20"/>
              </w:rPr>
              <w:t>Rev No</w:t>
            </w:r>
          </w:p>
        </w:tc>
        <w:tc>
          <w:tcPr>
            <w:tcW w:w="5760" w:type="dxa"/>
          </w:tcPr>
          <w:p w:rsidR="007A378A" w:rsidRPr="001279C6" w:rsidRDefault="007A378A" w:rsidP="00665CFE">
            <w:pPr>
              <w:jc w:val="center"/>
              <w:rPr>
                <w:sz w:val="20"/>
                <w:szCs w:val="20"/>
              </w:rPr>
            </w:pPr>
            <w:r w:rsidRPr="001279C6">
              <w:rPr>
                <w:sz w:val="20"/>
                <w:szCs w:val="20"/>
              </w:rPr>
              <w:t>Comments</w:t>
            </w:r>
          </w:p>
        </w:tc>
        <w:tc>
          <w:tcPr>
            <w:tcW w:w="1180" w:type="dxa"/>
          </w:tcPr>
          <w:p w:rsidR="007A378A" w:rsidRPr="001279C6" w:rsidRDefault="007A378A" w:rsidP="00665CFE">
            <w:pPr>
              <w:jc w:val="center"/>
              <w:rPr>
                <w:sz w:val="20"/>
                <w:szCs w:val="20"/>
              </w:rPr>
            </w:pPr>
            <w:r w:rsidRPr="001279C6">
              <w:rPr>
                <w:sz w:val="20"/>
                <w:szCs w:val="20"/>
              </w:rPr>
              <w:t>Checked by</w:t>
            </w:r>
          </w:p>
        </w:tc>
        <w:tc>
          <w:tcPr>
            <w:tcW w:w="1181" w:type="dxa"/>
          </w:tcPr>
          <w:p w:rsidR="007A378A" w:rsidRPr="001279C6" w:rsidRDefault="007A378A" w:rsidP="00665CFE">
            <w:pPr>
              <w:jc w:val="center"/>
              <w:rPr>
                <w:sz w:val="20"/>
                <w:szCs w:val="20"/>
              </w:rPr>
            </w:pPr>
            <w:r w:rsidRPr="001279C6">
              <w:rPr>
                <w:sz w:val="20"/>
                <w:szCs w:val="20"/>
              </w:rPr>
              <w:t>Approved by</w:t>
            </w:r>
          </w:p>
        </w:tc>
        <w:tc>
          <w:tcPr>
            <w:tcW w:w="1181" w:type="dxa"/>
          </w:tcPr>
          <w:p w:rsidR="007A378A" w:rsidRPr="001279C6" w:rsidRDefault="007A378A" w:rsidP="00665CFE">
            <w:pPr>
              <w:jc w:val="center"/>
              <w:rPr>
                <w:sz w:val="20"/>
                <w:szCs w:val="20"/>
              </w:rPr>
            </w:pPr>
            <w:r w:rsidRPr="001279C6">
              <w:rPr>
                <w:sz w:val="20"/>
                <w:szCs w:val="20"/>
              </w:rPr>
              <w:t>Date</w:t>
            </w:r>
          </w:p>
        </w:tc>
      </w:tr>
      <w:tr w:rsidR="007A378A" w:rsidRPr="001279C6">
        <w:trPr>
          <w:cantSplit/>
        </w:trPr>
        <w:tc>
          <w:tcPr>
            <w:tcW w:w="900" w:type="dxa"/>
          </w:tcPr>
          <w:p w:rsidR="007A378A" w:rsidRPr="001279C6" w:rsidRDefault="007A378A" w:rsidP="00665CFE">
            <w:pPr>
              <w:jc w:val="center"/>
              <w:rPr>
                <w:sz w:val="20"/>
                <w:szCs w:val="20"/>
              </w:rPr>
            </w:pPr>
          </w:p>
        </w:tc>
        <w:tc>
          <w:tcPr>
            <w:tcW w:w="5760" w:type="dxa"/>
          </w:tcPr>
          <w:p w:rsidR="007A378A" w:rsidRPr="001279C6" w:rsidRDefault="007A378A" w:rsidP="00665CFE">
            <w:pPr>
              <w:rPr>
                <w:sz w:val="20"/>
                <w:szCs w:val="20"/>
              </w:rPr>
            </w:pPr>
          </w:p>
        </w:tc>
        <w:tc>
          <w:tcPr>
            <w:tcW w:w="1180" w:type="dxa"/>
          </w:tcPr>
          <w:p w:rsidR="007A378A" w:rsidRPr="001279C6" w:rsidRDefault="007A378A" w:rsidP="00665CFE">
            <w:pPr>
              <w:rPr>
                <w:sz w:val="20"/>
                <w:szCs w:val="20"/>
              </w:rPr>
            </w:pPr>
          </w:p>
        </w:tc>
        <w:tc>
          <w:tcPr>
            <w:tcW w:w="1181" w:type="dxa"/>
          </w:tcPr>
          <w:p w:rsidR="007A378A" w:rsidRPr="001279C6" w:rsidRDefault="007A378A" w:rsidP="00665CFE">
            <w:pPr>
              <w:rPr>
                <w:sz w:val="20"/>
                <w:szCs w:val="20"/>
              </w:rPr>
            </w:pPr>
          </w:p>
        </w:tc>
        <w:tc>
          <w:tcPr>
            <w:tcW w:w="1181" w:type="dxa"/>
          </w:tcPr>
          <w:p w:rsidR="007A378A" w:rsidRPr="001279C6" w:rsidRDefault="007A378A" w:rsidP="00FC396F">
            <w:pPr>
              <w:jc w:val="center"/>
              <w:rPr>
                <w:sz w:val="20"/>
                <w:szCs w:val="20"/>
              </w:rPr>
            </w:pPr>
          </w:p>
        </w:tc>
      </w:tr>
      <w:tr w:rsidR="007A378A" w:rsidRPr="001279C6">
        <w:trPr>
          <w:cantSplit/>
        </w:trPr>
        <w:tc>
          <w:tcPr>
            <w:tcW w:w="900" w:type="dxa"/>
          </w:tcPr>
          <w:p w:rsidR="007A378A" w:rsidRPr="001279C6" w:rsidRDefault="007A378A" w:rsidP="00665CFE">
            <w:pPr>
              <w:jc w:val="center"/>
              <w:rPr>
                <w:sz w:val="20"/>
                <w:szCs w:val="20"/>
              </w:rPr>
            </w:pPr>
            <w:r w:rsidRPr="001279C6">
              <w:rPr>
                <w:sz w:val="20"/>
                <w:szCs w:val="20"/>
              </w:rPr>
              <w:t>1</w:t>
            </w:r>
          </w:p>
        </w:tc>
        <w:tc>
          <w:tcPr>
            <w:tcW w:w="5760" w:type="dxa"/>
          </w:tcPr>
          <w:p w:rsidR="007A378A" w:rsidRPr="001279C6" w:rsidRDefault="007A378A" w:rsidP="005D4F7F">
            <w:pPr>
              <w:rPr>
                <w:sz w:val="20"/>
                <w:szCs w:val="20"/>
              </w:rPr>
            </w:pPr>
            <w:r>
              <w:rPr>
                <w:sz w:val="20"/>
                <w:szCs w:val="20"/>
              </w:rPr>
              <w:t xml:space="preserve">First draft issue; </w:t>
            </w:r>
          </w:p>
        </w:tc>
        <w:tc>
          <w:tcPr>
            <w:tcW w:w="1180" w:type="dxa"/>
          </w:tcPr>
          <w:p w:rsidR="007A378A" w:rsidRPr="001279C6" w:rsidRDefault="007A378A" w:rsidP="00665CFE">
            <w:pPr>
              <w:rPr>
                <w:sz w:val="20"/>
                <w:szCs w:val="20"/>
              </w:rPr>
            </w:pPr>
            <w:r>
              <w:rPr>
                <w:sz w:val="20"/>
                <w:szCs w:val="20"/>
              </w:rPr>
              <w:t>PH</w:t>
            </w:r>
          </w:p>
        </w:tc>
        <w:tc>
          <w:tcPr>
            <w:tcW w:w="1181" w:type="dxa"/>
          </w:tcPr>
          <w:p w:rsidR="007A378A" w:rsidRPr="001279C6" w:rsidRDefault="007A378A" w:rsidP="00665CFE">
            <w:pPr>
              <w:rPr>
                <w:sz w:val="20"/>
                <w:szCs w:val="20"/>
              </w:rPr>
            </w:pPr>
            <w:r>
              <w:rPr>
                <w:sz w:val="20"/>
                <w:szCs w:val="20"/>
              </w:rPr>
              <w:t>IB</w:t>
            </w:r>
          </w:p>
        </w:tc>
        <w:tc>
          <w:tcPr>
            <w:tcW w:w="1181" w:type="dxa"/>
          </w:tcPr>
          <w:p w:rsidR="007A378A" w:rsidRPr="001279C6" w:rsidRDefault="007A378A" w:rsidP="008E4B51">
            <w:pPr>
              <w:jc w:val="center"/>
              <w:rPr>
                <w:sz w:val="20"/>
                <w:szCs w:val="20"/>
              </w:rPr>
            </w:pPr>
            <w:r>
              <w:rPr>
                <w:sz w:val="20"/>
                <w:szCs w:val="20"/>
              </w:rPr>
              <w:t>03-10-12</w:t>
            </w:r>
          </w:p>
        </w:tc>
      </w:tr>
      <w:tr w:rsidR="003C12D8" w:rsidRPr="001279C6" w:rsidTr="00F313CD">
        <w:trPr>
          <w:cantSplit/>
        </w:trPr>
        <w:tc>
          <w:tcPr>
            <w:tcW w:w="900" w:type="dxa"/>
          </w:tcPr>
          <w:p w:rsidR="003C12D8" w:rsidRPr="001279C6" w:rsidRDefault="003C12D8" w:rsidP="00F313CD">
            <w:pPr>
              <w:jc w:val="center"/>
              <w:rPr>
                <w:sz w:val="20"/>
                <w:szCs w:val="20"/>
              </w:rPr>
            </w:pPr>
            <w:r>
              <w:rPr>
                <w:sz w:val="20"/>
                <w:szCs w:val="20"/>
              </w:rPr>
              <w:t>2</w:t>
            </w:r>
          </w:p>
        </w:tc>
        <w:tc>
          <w:tcPr>
            <w:tcW w:w="5760" w:type="dxa"/>
          </w:tcPr>
          <w:p w:rsidR="003C12D8" w:rsidRDefault="003C12D8" w:rsidP="003C12D8">
            <w:pPr>
              <w:rPr>
                <w:sz w:val="20"/>
                <w:szCs w:val="20"/>
              </w:rPr>
            </w:pPr>
            <w:r>
              <w:rPr>
                <w:sz w:val="20"/>
                <w:szCs w:val="20"/>
              </w:rPr>
              <w:t>Revised version following DfT/HA comments</w:t>
            </w:r>
          </w:p>
        </w:tc>
        <w:tc>
          <w:tcPr>
            <w:tcW w:w="1180" w:type="dxa"/>
          </w:tcPr>
          <w:p w:rsidR="003C12D8" w:rsidRPr="00BC2ACE" w:rsidRDefault="003C12D8" w:rsidP="00F313CD">
            <w:pPr>
              <w:rPr>
                <w:sz w:val="20"/>
                <w:szCs w:val="20"/>
              </w:rPr>
            </w:pPr>
            <w:r w:rsidRPr="00BC2ACE">
              <w:rPr>
                <w:sz w:val="20"/>
                <w:szCs w:val="20"/>
              </w:rPr>
              <w:t>PH</w:t>
            </w:r>
          </w:p>
        </w:tc>
        <w:tc>
          <w:tcPr>
            <w:tcW w:w="1181" w:type="dxa"/>
          </w:tcPr>
          <w:p w:rsidR="003C12D8" w:rsidRPr="00BC2ACE" w:rsidRDefault="003C12D8" w:rsidP="00F313CD">
            <w:pPr>
              <w:rPr>
                <w:sz w:val="20"/>
                <w:szCs w:val="20"/>
              </w:rPr>
            </w:pPr>
            <w:r w:rsidRPr="00EF3296">
              <w:rPr>
                <w:sz w:val="20"/>
                <w:szCs w:val="20"/>
              </w:rPr>
              <w:t>IB</w:t>
            </w:r>
          </w:p>
        </w:tc>
        <w:tc>
          <w:tcPr>
            <w:tcW w:w="1181" w:type="dxa"/>
          </w:tcPr>
          <w:p w:rsidR="003C12D8" w:rsidRPr="00BC2ACE" w:rsidRDefault="003C12D8" w:rsidP="003C12D8">
            <w:pPr>
              <w:jc w:val="center"/>
              <w:rPr>
                <w:sz w:val="20"/>
                <w:szCs w:val="20"/>
              </w:rPr>
            </w:pPr>
            <w:r>
              <w:rPr>
                <w:sz w:val="20"/>
                <w:szCs w:val="20"/>
              </w:rPr>
              <w:t>29-10-</w:t>
            </w:r>
            <w:r w:rsidRPr="00BC2ACE">
              <w:rPr>
                <w:sz w:val="20"/>
                <w:szCs w:val="20"/>
              </w:rPr>
              <w:t>12</w:t>
            </w:r>
          </w:p>
        </w:tc>
      </w:tr>
      <w:tr w:rsidR="007A378A" w:rsidRPr="001279C6">
        <w:trPr>
          <w:cantSplit/>
        </w:trPr>
        <w:tc>
          <w:tcPr>
            <w:tcW w:w="900" w:type="dxa"/>
          </w:tcPr>
          <w:p w:rsidR="007A378A" w:rsidRPr="001279C6" w:rsidRDefault="003C12D8" w:rsidP="003C12D8">
            <w:pPr>
              <w:jc w:val="center"/>
              <w:rPr>
                <w:sz w:val="20"/>
                <w:szCs w:val="20"/>
              </w:rPr>
            </w:pPr>
            <w:r>
              <w:rPr>
                <w:sz w:val="20"/>
                <w:szCs w:val="20"/>
              </w:rPr>
              <w:t>3</w:t>
            </w:r>
          </w:p>
        </w:tc>
        <w:tc>
          <w:tcPr>
            <w:tcW w:w="5760" w:type="dxa"/>
          </w:tcPr>
          <w:p w:rsidR="007A378A" w:rsidRDefault="00572269" w:rsidP="003C12D8">
            <w:pPr>
              <w:rPr>
                <w:sz w:val="20"/>
                <w:szCs w:val="20"/>
              </w:rPr>
            </w:pPr>
            <w:r>
              <w:rPr>
                <w:sz w:val="20"/>
                <w:szCs w:val="20"/>
              </w:rPr>
              <w:t xml:space="preserve">Final </w:t>
            </w:r>
            <w:r w:rsidR="003C12D8">
              <w:rPr>
                <w:sz w:val="20"/>
                <w:szCs w:val="20"/>
              </w:rPr>
              <w:t xml:space="preserve">version </w:t>
            </w:r>
            <w:r>
              <w:rPr>
                <w:sz w:val="20"/>
                <w:szCs w:val="20"/>
              </w:rPr>
              <w:t xml:space="preserve">following </w:t>
            </w:r>
            <w:r w:rsidR="003C12D8">
              <w:rPr>
                <w:sz w:val="20"/>
                <w:szCs w:val="20"/>
              </w:rPr>
              <w:t xml:space="preserve">further </w:t>
            </w:r>
            <w:r>
              <w:rPr>
                <w:sz w:val="20"/>
                <w:szCs w:val="20"/>
              </w:rPr>
              <w:t>DfT/HA comments</w:t>
            </w:r>
          </w:p>
        </w:tc>
        <w:tc>
          <w:tcPr>
            <w:tcW w:w="1180" w:type="dxa"/>
          </w:tcPr>
          <w:p w:rsidR="007A378A" w:rsidRPr="00BC2ACE" w:rsidRDefault="00BC2ACE" w:rsidP="00665CFE">
            <w:pPr>
              <w:rPr>
                <w:sz w:val="20"/>
                <w:szCs w:val="20"/>
              </w:rPr>
            </w:pPr>
            <w:r w:rsidRPr="00BC2ACE">
              <w:rPr>
                <w:sz w:val="20"/>
                <w:szCs w:val="20"/>
              </w:rPr>
              <w:t>PH</w:t>
            </w:r>
          </w:p>
        </w:tc>
        <w:tc>
          <w:tcPr>
            <w:tcW w:w="1181" w:type="dxa"/>
          </w:tcPr>
          <w:p w:rsidR="007A378A" w:rsidRPr="00BC2ACE" w:rsidRDefault="00EF3296" w:rsidP="00BC2ACE">
            <w:pPr>
              <w:rPr>
                <w:sz w:val="20"/>
                <w:szCs w:val="20"/>
              </w:rPr>
            </w:pPr>
            <w:r w:rsidRPr="00EF3296">
              <w:rPr>
                <w:sz w:val="20"/>
                <w:szCs w:val="20"/>
              </w:rPr>
              <w:t>IB</w:t>
            </w:r>
          </w:p>
        </w:tc>
        <w:tc>
          <w:tcPr>
            <w:tcW w:w="1181" w:type="dxa"/>
          </w:tcPr>
          <w:p w:rsidR="007A378A" w:rsidRPr="00BC2ACE" w:rsidRDefault="0033578C" w:rsidP="0033578C">
            <w:pPr>
              <w:jc w:val="center"/>
              <w:rPr>
                <w:sz w:val="20"/>
                <w:szCs w:val="20"/>
              </w:rPr>
            </w:pPr>
            <w:r>
              <w:rPr>
                <w:sz w:val="20"/>
                <w:szCs w:val="20"/>
              </w:rPr>
              <w:t>26-11-</w:t>
            </w:r>
            <w:r w:rsidR="00B37D17" w:rsidRPr="00BC2ACE">
              <w:rPr>
                <w:sz w:val="20"/>
                <w:szCs w:val="20"/>
              </w:rPr>
              <w:t>12</w:t>
            </w:r>
          </w:p>
        </w:tc>
      </w:tr>
    </w:tbl>
    <w:p w:rsidR="007A378A" w:rsidRPr="001279C6" w:rsidRDefault="007A378A">
      <w:pPr>
        <w:tabs>
          <w:tab w:val="left" w:pos="1701"/>
          <w:tab w:val="left" w:pos="6237"/>
        </w:tabs>
        <w:rPr>
          <w:sz w:val="20"/>
          <w:szCs w:val="20"/>
        </w:rPr>
      </w:pPr>
    </w:p>
    <w:p w:rsidR="007A378A" w:rsidRPr="001279C6" w:rsidRDefault="007A378A">
      <w:pPr>
        <w:tabs>
          <w:tab w:val="left" w:pos="1701"/>
          <w:tab w:val="left" w:pos="6237"/>
        </w:tabs>
        <w:rPr>
          <w:sz w:val="20"/>
          <w:szCs w:val="20"/>
        </w:rPr>
      </w:pPr>
    </w:p>
    <w:p w:rsidR="007A378A" w:rsidRPr="001279C6" w:rsidRDefault="007A378A">
      <w:pPr>
        <w:tabs>
          <w:tab w:val="left" w:pos="1701"/>
          <w:tab w:val="left" w:pos="6237"/>
        </w:tabs>
        <w:rPr>
          <w:sz w:val="20"/>
          <w:szCs w:val="20"/>
        </w:rPr>
      </w:pPr>
    </w:p>
    <w:p w:rsidR="007A378A" w:rsidRPr="001279C6" w:rsidRDefault="007A378A">
      <w:pPr>
        <w:tabs>
          <w:tab w:val="left" w:pos="1701"/>
          <w:tab w:val="left" w:pos="6237"/>
        </w:tabs>
        <w:rPr>
          <w:sz w:val="20"/>
          <w:szCs w:val="20"/>
        </w:rPr>
      </w:pPr>
      <w:bookmarkStart w:id="6" w:name="Location"/>
      <w:bookmarkEnd w:id="6"/>
      <w:r w:rsidRPr="001279C6">
        <w:rPr>
          <w:sz w:val="20"/>
          <w:szCs w:val="20"/>
        </w:rPr>
        <w:t xml:space="preserve">Saxon House,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279C6">
                <w:rPr>
                  <w:sz w:val="20"/>
                  <w:szCs w:val="20"/>
                </w:rPr>
                <w:t>27 Duke Street</w:t>
              </w:r>
            </w:smartTag>
          </w:smartTag>
          <w:r w:rsidRPr="001279C6">
            <w:rPr>
              <w:sz w:val="20"/>
              <w:szCs w:val="20"/>
            </w:rPr>
            <w:t xml:space="preserve">, </w:t>
          </w:r>
          <w:smartTag w:uri="urn:schemas-microsoft-com:office:smarttags" w:element="City">
            <w:r w:rsidRPr="001279C6">
              <w:rPr>
                <w:sz w:val="20"/>
                <w:szCs w:val="20"/>
              </w:rPr>
              <w:t>Chelmsford</w:t>
            </w:r>
          </w:smartTag>
        </w:smartTag>
      </w:smartTag>
      <w:r w:rsidRPr="001279C6">
        <w:rPr>
          <w:sz w:val="20"/>
          <w:szCs w:val="20"/>
        </w:rPr>
        <w:t xml:space="preserve">, </w:t>
      </w:r>
      <w:smartTag w:uri="urn:schemas-microsoft-com:office:smarttags" w:element="City">
        <w:smartTag w:uri="urn:schemas-microsoft-com:office:smarttags" w:element="place">
          <w:smartTag w:uri="urn:schemas-microsoft-com:office:smarttags" w:element="City">
            <w:r w:rsidRPr="001279C6">
              <w:rPr>
                <w:sz w:val="20"/>
                <w:szCs w:val="20"/>
              </w:rPr>
              <w:t>Essex</w:t>
            </w:r>
          </w:smartTag>
          <w:r w:rsidRPr="001279C6">
            <w:rPr>
              <w:sz w:val="20"/>
              <w:szCs w:val="20"/>
            </w:rPr>
            <w:t xml:space="preserve">, </w:t>
          </w:r>
          <w:smartTag w:uri="urn:schemas-microsoft-com:office:smarttags" w:element="PostalCode">
            <w:r w:rsidRPr="001279C6">
              <w:rPr>
                <w:sz w:val="20"/>
                <w:szCs w:val="20"/>
              </w:rPr>
              <w:t>CM1 1HT</w:t>
            </w:r>
          </w:smartTag>
        </w:smartTag>
      </w:smartTag>
    </w:p>
    <w:p w:rsidR="007A378A" w:rsidRPr="001279C6" w:rsidRDefault="007A378A">
      <w:pPr>
        <w:rPr>
          <w:sz w:val="20"/>
          <w:szCs w:val="20"/>
        </w:rPr>
      </w:pPr>
      <w:r w:rsidRPr="001279C6">
        <w:rPr>
          <w:sz w:val="20"/>
          <w:szCs w:val="20"/>
        </w:rPr>
        <w:t xml:space="preserve">Telephone: </w:t>
      </w:r>
      <w:bookmarkStart w:id="7" w:name="Tel"/>
      <w:bookmarkEnd w:id="7"/>
      <w:r w:rsidRPr="001279C6">
        <w:rPr>
          <w:sz w:val="20"/>
          <w:szCs w:val="20"/>
        </w:rPr>
        <w:t>01245 771200     Website: http://www.aecom.com</w:t>
      </w:r>
    </w:p>
    <w:p w:rsidR="007A378A" w:rsidRPr="001279C6" w:rsidRDefault="007A378A">
      <w:pPr>
        <w:rPr>
          <w:sz w:val="20"/>
          <w:szCs w:val="20"/>
        </w:rPr>
      </w:pPr>
    </w:p>
    <w:p w:rsidR="007A378A" w:rsidRPr="001279C6" w:rsidRDefault="007A378A">
      <w:pPr>
        <w:tabs>
          <w:tab w:val="left" w:pos="2880"/>
          <w:tab w:val="right" w:pos="10205"/>
        </w:tabs>
        <w:rPr>
          <w:sz w:val="20"/>
          <w:szCs w:val="20"/>
        </w:rPr>
      </w:pPr>
      <w:r w:rsidRPr="001279C6">
        <w:rPr>
          <w:sz w:val="20"/>
          <w:szCs w:val="20"/>
        </w:rPr>
        <w:t xml:space="preserve">Job No </w:t>
      </w:r>
      <w:bookmarkStart w:id="8" w:name="JobNo"/>
      <w:bookmarkEnd w:id="8"/>
      <w:r>
        <w:rPr>
          <w:sz w:val="20"/>
          <w:szCs w:val="20"/>
        </w:rPr>
        <w:t>60249197</w:t>
      </w:r>
      <w:r w:rsidRPr="001279C6">
        <w:rPr>
          <w:sz w:val="20"/>
          <w:szCs w:val="20"/>
        </w:rPr>
        <w:tab/>
        <w:t xml:space="preserve">Reference </w:t>
      </w:r>
      <w:bookmarkStart w:id="9" w:name="Reference"/>
      <w:bookmarkEnd w:id="9"/>
      <w:proofErr w:type="gramStart"/>
      <w:r>
        <w:rPr>
          <w:sz w:val="20"/>
          <w:szCs w:val="20"/>
        </w:rPr>
        <w:t>Output</w:t>
      </w:r>
      <w:proofErr w:type="gramEnd"/>
      <w:r>
        <w:rPr>
          <w:sz w:val="20"/>
          <w:szCs w:val="20"/>
        </w:rPr>
        <w:t xml:space="preserve"> 3: Operating and Maintenance Costs and Revenues Report</w:t>
      </w:r>
      <w:r>
        <w:rPr>
          <w:sz w:val="20"/>
          <w:szCs w:val="20"/>
        </w:rPr>
        <w:tab/>
      </w:r>
      <w:r>
        <w:rPr>
          <w:sz w:val="20"/>
          <w:szCs w:val="20"/>
        </w:rPr>
        <w:tab/>
      </w:r>
      <w:r w:rsidRPr="001279C6">
        <w:rPr>
          <w:sz w:val="20"/>
          <w:szCs w:val="20"/>
        </w:rPr>
        <w:t xml:space="preserve">Date Created </w:t>
      </w:r>
      <w:bookmarkStart w:id="10" w:name="IMSDateCreated"/>
      <w:r>
        <w:rPr>
          <w:sz w:val="20"/>
          <w:szCs w:val="20"/>
        </w:rPr>
        <w:t>October 2012</w:t>
      </w:r>
      <w:r w:rsidR="00EA01C7" w:rsidRPr="001279C6">
        <w:rPr>
          <w:sz w:val="20"/>
          <w:szCs w:val="20"/>
        </w:rPr>
        <w:fldChar w:fldCharType="begin"/>
      </w:r>
      <w:r w:rsidRPr="001279C6">
        <w:rPr>
          <w:sz w:val="20"/>
          <w:szCs w:val="20"/>
        </w:rPr>
        <w:instrText xml:space="preserve"> REF DateCreated </w:instrText>
      </w:r>
      <w:r>
        <w:rPr>
          <w:sz w:val="20"/>
          <w:szCs w:val="20"/>
        </w:rPr>
        <w:instrText xml:space="preserve"> \* MERGEFORMAT </w:instrText>
      </w:r>
      <w:r w:rsidR="00EA01C7" w:rsidRPr="001279C6">
        <w:rPr>
          <w:sz w:val="20"/>
          <w:szCs w:val="20"/>
        </w:rPr>
        <w:fldChar w:fldCharType="end"/>
      </w:r>
      <w:bookmarkEnd w:id="10"/>
    </w:p>
    <w:p w:rsidR="007A378A" w:rsidRPr="001279C6" w:rsidRDefault="007A378A">
      <w:pPr>
        <w:tabs>
          <w:tab w:val="left" w:pos="1418"/>
          <w:tab w:val="left" w:leader="dot" w:pos="4536"/>
          <w:tab w:val="left" w:pos="5103"/>
          <w:tab w:val="left" w:pos="6521"/>
          <w:tab w:val="left" w:leader="dot" w:pos="10206"/>
        </w:tabs>
        <w:rPr>
          <w:sz w:val="20"/>
          <w:szCs w:val="20"/>
        </w:rPr>
      </w:pPr>
    </w:p>
    <w:p w:rsidR="007A378A" w:rsidRPr="001279C6" w:rsidRDefault="007A378A">
      <w:pPr>
        <w:tabs>
          <w:tab w:val="left" w:pos="1418"/>
          <w:tab w:val="left" w:leader="dot" w:pos="4536"/>
          <w:tab w:val="left" w:pos="5103"/>
          <w:tab w:val="left" w:pos="6521"/>
          <w:tab w:val="left" w:leader="dot" w:pos="10206"/>
        </w:tabs>
        <w:rPr>
          <w:sz w:val="20"/>
          <w:szCs w:val="20"/>
        </w:rPr>
      </w:pPr>
    </w:p>
    <w:p w:rsidR="007A378A" w:rsidRPr="001279C6" w:rsidRDefault="007A378A" w:rsidP="00080B8D">
      <w:pPr>
        <w:rPr>
          <w:sz w:val="20"/>
          <w:szCs w:val="20"/>
        </w:rPr>
      </w:pPr>
      <w:r w:rsidRPr="001279C6">
        <w:rPr>
          <w:sz w:val="20"/>
          <w:szCs w:val="20"/>
        </w:rPr>
        <w:t>This document has been prepared by AECOM Limited for the sole use of our client (the “Client”) and in accordance with generally accepted consultancy principles, the budget for fees and the terms of reference agreed between AECOM Limited and the Client. Any information provided by third parties and referred to herein has not been checked or verified by AECOM Limited, unless otherwise expressly stated in the document. No third party may rely upon this document without the prior and express written agreement of AECOM Limited.</w:t>
      </w:r>
    </w:p>
    <w:p w:rsidR="007A378A" w:rsidRDefault="007A378A">
      <w:pPr>
        <w:rPr>
          <w:sz w:val="20"/>
          <w:szCs w:val="20"/>
        </w:rPr>
      </w:pPr>
    </w:p>
    <w:p w:rsidR="00C91DED" w:rsidRPr="00C91DED" w:rsidRDefault="00C91DED" w:rsidP="00C91DED">
      <w:pPr>
        <w:rPr>
          <w:sz w:val="20"/>
          <w:szCs w:val="20"/>
        </w:rPr>
      </w:pPr>
      <w:r w:rsidRPr="00C91DED">
        <w:rPr>
          <w:sz w:val="20"/>
          <w:szCs w:val="20"/>
        </w:rPr>
        <w:t>Although this report was commissioned by the Department for Transport (</w:t>
      </w:r>
      <w:proofErr w:type="spellStart"/>
      <w:r w:rsidRPr="00C91DED">
        <w:rPr>
          <w:sz w:val="20"/>
          <w:szCs w:val="20"/>
        </w:rPr>
        <w:t>DfT</w:t>
      </w:r>
      <w:proofErr w:type="spellEnd"/>
      <w:r w:rsidRPr="00C91DED">
        <w:rPr>
          <w:sz w:val="20"/>
          <w:szCs w:val="20"/>
        </w:rPr>
        <w:t xml:space="preserve">), the findings and recommendations are those of the authors and do not necessarily represent the views of the </w:t>
      </w:r>
      <w:proofErr w:type="spellStart"/>
      <w:r w:rsidRPr="00C91DED">
        <w:rPr>
          <w:sz w:val="20"/>
          <w:szCs w:val="20"/>
        </w:rPr>
        <w:t>DfT.</w:t>
      </w:r>
      <w:proofErr w:type="spellEnd"/>
      <w:r w:rsidRPr="00C91DED">
        <w:rPr>
          <w:sz w:val="20"/>
          <w:szCs w:val="20"/>
        </w:rPr>
        <w:t xml:space="preserve"> The information or guidance in this document (including third party information, products and services), is provided by </w:t>
      </w:r>
      <w:proofErr w:type="spellStart"/>
      <w:r w:rsidRPr="00C91DED">
        <w:rPr>
          <w:sz w:val="20"/>
          <w:szCs w:val="20"/>
        </w:rPr>
        <w:t>DfT</w:t>
      </w:r>
      <w:proofErr w:type="spellEnd"/>
      <w:r w:rsidRPr="00C91DED">
        <w:rPr>
          <w:sz w:val="20"/>
          <w:szCs w:val="20"/>
        </w:rPr>
        <w:t xml:space="preserve"> on an 'as is' basis, without any representation or endorsement made and without warranty of any kind whether express or implied.</w:t>
      </w:r>
    </w:p>
    <w:p w:rsidR="00C91DED" w:rsidRDefault="00C91DED">
      <w:pPr>
        <w:rPr>
          <w:sz w:val="20"/>
          <w:szCs w:val="20"/>
        </w:rPr>
      </w:pPr>
    </w:p>
    <w:p w:rsidR="00C91DED" w:rsidRPr="001279C6" w:rsidRDefault="00C91DED">
      <w:pPr>
        <w:rPr>
          <w:sz w:val="20"/>
          <w:szCs w:val="20"/>
        </w:rPr>
      </w:pPr>
    </w:p>
    <w:p w:rsidR="007A378A" w:rsidRDefault="007A378A">
      <w:pPr>
        <w:rPr>
          <w:sz w:val="20"/>
          <w:szCs w:val="20"/>
        </w:rPr>
        <w:sectPr w:rsidR="007A378A" w:rsidSect="007323AF">
          <w:headerReference w:type="default" r:id="rId14"/>
          <w:footerReference w:type="default" r:id="rId15"/>
          <w:pgSz w:w="11907" w:h="16840" w:code="9"/>
          <w:pgMar w:top="-3640" w:right="709" w:bottom="1729" w:left="907" w:header="357" w:footer="567" w:gutter="0"/>
          <w:cols w:space="720"/>
          <w:vAlign w:val="bottom"/>
          <w:docGrid w:linePitch="360"/>
        </w:sectPr>
      </w:pPr>
    </w:p>
    <w:p w:rsidR="007A378A" w:rsidRDefault="007A378A" w:rsidP="000B7D90">
      <w:pPr>
        <w:pStyle w:val="Hdg1noTOC"/>
        <w:framePr w:wrap="notBeside"/>
        <w:rPr>
          <w:b/>
          <w:sz w:val="28"/>
          <w:szCs w:val="28"/>
        </w:rPr>
      </w:pPr>
      <w:r>
        <w:lastRenderedPageBreak/>
        <w:t>Table of Contents</w:t>
      </w:r>
      <w:r w:rsidRPr="000B7D90">
        <w:rPr>
          <w:b/>
          <w:sz w:val="28"/>
          <w:szCs w:val="28"/>
        </w:rPr>
        <w:t xml:space="preserve"> </w:t>
      </w:r>
    </w:p>
    <w:p w:rsidR="007A378A" w:rsidRDefault="007A378A" w:rsidP="000B7D90">
      <w:pPr>
        <w:pStyle w:val="Hdg1noTOC"/>
        <w:framePr w:wrap="notBeside"/>
      </w:pPr>
    </w:p>
    <w:bookmarkStart w:id="11" w:name="TOC"/>
    <w:bookmarkEnd w:id="11"/>
    <w:p w:rsidR="00F4253A" w:rsidRDefault="00EA01C7">
      <w:pPr>
        <w:pStyle w:val="TOC1"/>
        <w:rPr>
          <w:rFonts w:asciiTheme="minorHAnsi" w:eastAsiaTheme="minorEastAsia" w:hAnsiTheme="minorHAnsi" w:cstheme="minorBidi"/>
          <w:b w:val="0"/>
          <w:noProof/>
          <w:sz w:val="22"/>
          <w:szCs w:val="22"/>
          <w:lang w:eastAsia="en-GB"/>
        </w:rPr>
      </w:pPr>
      <w:r w:rsidRPr="00EA01C7">
        <w:rPr>
          <w:b w:val="0"/>
          <w:caps/>
        </w:rPr>
        <w:fldChar w:fldCharType="begin"/>
      </w:r>
      <w:r w:rsidR="007A378A">
        <w:rPr>
          <w:b w:val="0"/>
          <w:caps/>
        </w:rPr>
        <w:instrText xml:space="preserve"> TOC \o "1-2" \h \z </w:instrText>
      </w:r>
      <w:r w:rsidRPr="00EA01C7">
        <w:rPr>
          <w:b w:val="0"/>
          <w:caps/>
        </w:rPr>
        <w:fldChar w:fldCharType="separate"/>
      </w:r>
      <w:hyperlink w:anchor="_Toc341694609" w:history="1">
        <w:r w:rsidR="00F4253A" w:rsidRPr="00F51025">
          <w:rPr>
            <w:rStyle w:val="Hyperlink"/>
            <w:noProof/>
          </w:rPr>
          <w:t>1</w:t>
        </w:r>
        <w:r w:rsidR="00F4253A">
          <w:rPr>
            <w:rFonts w:asciiTheme="minorHAnsi" w:eastAsiaTheme="minorEastAsia" w:hAnsiTheme="minorHAnsi" w:cstheme="minorBidi"/>
            <w:b w:val="0"/>
            <w:noProof/>
            <w:sz w:val="22"/>
            <w:szCs w:val="22"/>
            <w:lang w:eastAsia="en-GB"/>
          </w:rPr>
          <w:tab/>
        </w:r>
        <w:r w:rsidR="00F4253A" w:rsidRPr="00F51025">
          <w:rPr>
            <w:rStyle w:val="Hyperlink"/>
            <w:noProof/>
          </w:rPr>
          <w:t>Introduction</w:t>
        </w:r>
        <w:r w:rsidR="00F4253A">
          <w:rPr>
            <w:noProof/>
            <w:webHidden/>
          </w:rPr>
          <w:tab/>
        </w:r>
        <w:r>
          <w:rPr>
            <w:noProof/>
            <w:webHidden/>
          </w:rPr>
          <w:fldChar w:fldCharType="begin"/>
        </w:r>
        <w:r w:rsidR="00F4253A">
          <w:rPr>
            <w:noProof/>
            <w:webHidden/>
          </w:rPr>
          <w:instrText xml:space="preserve"> PAGEREF _Toc341694609 \h </w:instrText>
        </w:r>
        <w:r>
          <w:rPr>
            <w:noProof/>
            <w:webHidden/>
          </w:rPr>
        </w:r>
        <w:r>
          <w:rPr>
            <w:noProof/>
            <w:webHidden/>
          </w:rPr>
          <w:fldChar w:fldCharType="separate"/>
        </w:r>
        <w:r w:rsidR="00F4253A">
          <w:rPr>
            <w:noProof/>
            <w:webHidden/>
          </w:rPr>
          <w:t>1</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0" w:history="1">
        <w:r w:rsidR="00F4253A" w:rsidRPr="00F51025">
          <w:rPr>
            <w:rStyle w:val="Hyperlink"/>
            <w:noProof/>
          </w:rPr>
          <w:t>1.1</w:t>
        </w:r>
        <w:r w:rsidR="00F4253A">
          <w:rPr>
            <w:rFonts w:asciiTheme="minorHAnsi" w:eastAsiaTheme="minorEastAsia" w:hAnsiTheme="minorHAnsi" w:cstheme="minorBidi"/>
            <w:noProof/>
            <w:sz w:val="22"/>
            <w:szCs w:val="22"/>
            <w:lang w:eastAsia="en-GB"/>
          </w:rPr>
          <w:tab/>
        </w:r>
        <w:r w:rsidR="00F4253A" w:rsidRPr="00F51025">
          <w:rPr>
            <w:rStyle w:val="Hyperlink"/>
            <w:noProof/>
          </w:rPr>
          <w:t>Background</w:t>
        </w:r>
        <w:r w:rsidR="00F4253A">
          <w:rPr>
            <w:noProof/>
            <w:webHidden/>
          </w:rPr>
          <w:tab/>
        </w:r>
        <w:r>
          <w:rPr>
            <w:noProof/>
            <w:webHidden/>
          </w:rPr>
          <w:fldChar w:fldCharType="begin"/>
        </w:r>
        <w:r w:rsidR="00F4253A">
          <w:rPr>
            <w:noProof/>
            <w:webHidden/>
          </w:rPr>
          <w:instrText xml:space="preserve"> PAGEREF _Toc341694610 \h </w:instrText>
        </w:r>
        <w:r>
          <w:rPr>
            <w:noProof/>
            <w:webHidden/>
          </w:rPr>
        </w:r>
        <w:r>
          <w:rPr>
            <w:noProof/>
            <w:webHidden/>
          </w:rPr>
          <w:fldChar w:fldCharType="separate"/>
        </w:r>
        <w:r w:rsidR="00F4253A">
          <w:rPr>
            <w:noProof/>
            <w:webHidden/>
          </w:rPr>
          <w:t>1</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1" w:history="1">
        <w:r w:rsidR="00F4253A" w:rsidRPr="00F51025">
          <w:rPr>
            <w:rStyle w:val="Hyperlink"/>
            <w:noProof/>
          </w:rPr>
          <w:t>1.2</w:t>
        </w:r>
        <w:r w:rsidR="00F4253A">
          <w:rPr>
            <w:rFonts w:asciiTheme="minorHAnsi" w:eastAsiaTheme="minorEastAsia" w:hAnsiTheme="minorHAnsi" w:cstheme="minorBidi"/>
            <w:noProof/>
            <w:sz w:val="22"/>
            <w:szCs w:val="22"/>
            <w:lang w:eastAsia="en-GB"/>
          </w:rPr>
          <w:tab/>
        </w:r>
        <w:r w:rsidR="00F4253A" w:rsidRPr="00F51025">
          <w:rPr>
            <w:rStyle w:val="Hyperlink"/>
            <w:noProof/>
          </w:rPr>
          <w:t>Report Purpose</w:t>
        </w:r>
        <w:r w:rsidR="00F4253A">
          <w:rPr>
            <w:noProof/>
            <w:webHidden/>
          </w:rPr>
          <w:tab/>
        </w:r>
        <w:r>
          <w:rPr>
            <w:noProof/>
            <w:webHidden/>
          </w:rPr>
          <w:fldChar w:fldCharType="begin"/>
        </w:r>
        <w:r w:rsidR="00F4253A">
          <w:rPr>
            <w:noProof/>
            <w:webHidden/>
          </w:rPr>
          <w:instrText xml:space="preserve"> PAGEREF _Toc341694611 \h </w:instrText>
        </w:r>
        <w:r>
          <w:rPr>
            <w:noProof/>
            <w:webHidden/>
          </w:rPr>
        </w:r>
        <w:r>
          <w:rPr>
            <w:noProof/>
            <w:webHidden/>
          </w:rPr>
          <w:fldChar w:fldCharType="separate"/>
        </w:r>
        <w:r w:rsidR="00F4253A">
          <w:rPr>
            <w:noProof/>
            <w:webHidden/>
          </w:rPr>
          <w:t>1</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2" w:history="1">
        <w:r w:rsidR="00F4253A" w:rsidRPr="00F51025">
          <w:rPr>
            <w:rStyle w:val="Hyperlink"/>
            <w:noProof/>
          </w:rPr>
          <w:t>1.3</w:t>
        </w:r>
        <w:r w:rsidR="00F4253A">
          <w:rPr>
            <w:rFonts w:asciiTheme="minorHAnsi" w:eastAsiaTheme="minorEastAsia" w:hAnsiTheme="minorHAnsi" w:cstheme="minorBidi"/>
            <w:noProof/>
            <w:sz w:val="22"/>
            <w:szCs w:val="22"/>
            <w:lang w:eastAsia="en-GB"/>
          </w:rPr>
          <w:tab/>
        </w:r>
        <w:r w:rsidR="00F4253A" w:rsidRPr="00F51025">
          <w:rPr>
            <w:rStyle w:val="Hyperlink"/>
            <w:noProof/>
          </w:rPr>
          <w:t>Overall Approach and Report Structure</w:t>
        </w:r>
        <w:r w:rsidR="00F4253A">
          <w:rPr>
            <w:noProof/>
            <w:webHidden/>
          </w:rPr>
          <w:tab/>
        </w:r>
        <w:r>
          <w:rPr>
            <w:noProof/>
            <w:webHidden/>
          </w:rPr>
          <w:fldChar w:fldCharType="begin"/>
        </w:r>
        <w:r w:rsidR="00F4253A">
          <w:rPr>
            <w:noProof/>
            <w:webHidden/>
          </w:rPr>
          <w:instrText xml:space="preserve"> PAGEREF _Toc341694612 \h </w:instrText>
        </w:r>
        <w:r>
          <w:rPr>
            <w:noProof/>
            <w:webHidden/>
          </w:rPr>
        </w:r>
        <w:r>
          <w:rPr>
            <w:noProof/>
            <w:webHidden/>
          </w:rPr>
          <w:fldChar w:fldCharType="separate"/>
        </w:r>
        <w:r w:rsidR="00F4253A">
          <w:rPr>
            <w:noProof/>
            <w:webHidden/>
          </w:rPr>
          <w:t>1</w:t>
        </w:r>
        <w:r>
          <w:rPr>
            <w:noProof/>
            <w:webHidden/>
          </w:rPr>
          <w:fldChar w:fldCharType="end"/>
        </w:r>
      </w:hyperlink>
    </w:p>
    <w:p w:rsidR="00F4253A" w:rsidRDefault="00EA01C7">
      <w:pPr>
        <w:pStyle w:val="TOC1"/>
        <w:rPr>
          <w:rFonts w:asciiTheme="minorHAnsi" w:eastAsiaTheme="minorEastAsia" w:hAnsiTheme="minorHAnsi" w:cstheme="minorBidi"/>
          <w:b w:val="0"/>
          <w:noProof/>
          <w:sz w:val="22"/>
          <w:szCs w:val="22"/>
          <w:lang w:eastAsia="en-GB"/>
        </w:rPr>
      </w:pPr>
      <w:hyperlink w:anchor="_Toc341694613" w:history="1">
        <w:r w:rsidR="00F4253A" w:rsidRPr="00F51025">
          <w:rPr>
            <w:rStyle w:val="Hyperlink"/>
            <w:noProof/>
          </w:rPr>
          <w:t>2</w:t>
        </w:r>
        <w:r w:rsidR="00F4253A">
          <w:rPr>
            <w:rFonts w:asciiTheme="minorHAnsi" w:eastAsiaTheme="minorEastAsia" w:hAnsiTheme="minorHAnsi" w:cstheme="minorBidi"/>
            <w:b w:val="0"/>
            <w:noProof/>
            <w:sz w:val="22"/>
            <w:szCs w:val="22"/>
            <w:lang w:eastAsia="en-GB"/>
          </w:rPr>
          <w:tab/>
        </w:r>
        <w:r w:rsidR="00F4253A" w:rsidRPr="00F51025">
          <w:rPr>
            <w:rStyle w:val="Hyperlink"/>
            <w:noProof/>
          </w:rPr>
          <w:t>Operational and Maintenance Costs</w:t>
        </w:r>
        <w:r w:rsidR="00F4253A">
          <w:rPr>
            <w:noProof/>
            <w:webHidden/>
          </w:rPr>
          <w:tab/>
        </w:r>
        <w:r>
          <w:rPr>
            <w:noProof/>
            <w:webHidden/>
          </w:rPr>
          <w:fldChar w:fldCharType="begin"/>
        </w:r>
        <w:r w:rsidR="00F4253A">
          <w:rPr>
            <w:noProof/>
            <w:webHidden/>
          </w:rPr>
          <w:instrText xml:space="preserve"> PAGEREF _Toc341694613 \h </w:instrText>
        </w:r>
        <w:r>
          <w:rPr>
            <w:noProof/>
            <w:webHidden/>
          </w:rPr>
        </w:r>
        <w:r>
          <w:rPr>
            <w:noProof/>
            <w:webHidden/>
          </w:rPr>
          <w:fldChar w:fldCharType="separate"/>
        </w:r>
        <w:r w:rsidR="00F4253A">
          <w:rPr>
            <w:noProof/>
            <w:webHidden/>
          </w:rPr>
          <w:t>4</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4" w:history="1">
        <w:r w:rsidR="00F4253A" w:rsidRPr="00F51025">
          <w:rPr>
            <w:rStyle w:val="Hyperlink"/>
            <w:noProof/>
          </w:rPr>
          <w:t>2.1</w:t>
        </w:r>
        <w:r w:rsidR="00F4253A">
          <w:rPr>
            <w:rFonts w:asciiTheme="minorHAnsi" w:eastAsiaTheme="minorEastAsia" w:hAnsiTheme="minorHAnsi" w:cstheme="minorBidi"/>
            <w:noProof/>
            <w:sz w:val="22"/>
            <w:szCs w:val="22"/>
            <w:lang w:eastAsia="en-GB"/>
          </w:rPr>
          <w:tab/>
        </w:r>
        <w:r w:rsidR="00F4253A" w:rsidRPr="00F51025">
          <w:rPr>
            <w:rStyle w:val="Hyperlink"/>
            <w:noProof/>
          </w:rPr>
          <w:t>Introduction</w:t>
        </w:r>
        <w:r w:rsidR="00F4253A">
          <w:rPr>
            <w:noProof/>
            <w:webHidden/>
          </w:rPr>
          <w:tab/>
        </w:r>
        <w:r>
          <w:rPr>
            <w:noProof/>
            <w:webHidden/>
          </w:rPr>
          <w:fldChar w:fldCharType="begin"/>
        </w:r>
        <w:r w:rsidR="00F4253A">
          <w:rPr>
            <w:noProof/>
            <w:webHidden/>
          </w:rPr>
          <w:instrText xml:space="preserve"> PAGEREF _Toc341694614 \h </w:instrText>
        </w:r>
        <w:r>
          <w:rPr>
            <w:noProof/>
            <w:webHidden/>
          </w:rPr>
        </w:r>
        <w:r>
          <w:rPr>
            <w:noProof/>
            <w:webHidden/>
          </w:rPr>
          <w:fldChar w:fldCharType="separate"/>
        </w:r>
        <w:r w:rsidR="00F4253A">
          <w:rPr>
            <w:noProof/>
            <w:webHidden/>
          </w:rPr>
          <w:t>4</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5" w:history="1">
        <w:r w:rsidR="00F4253A" w:rsidRPr="00F51025">
          <w:rPr>
            <w:rStyle w:val="Hyperlink"/>
            <w:noProof/>
          </w:rPr>
          <w:t>2.2</w:t>
        </w:r>
        <w:r w:rsidR="00F4253A">
          <w:rPr>
            <w:rFonts w:asciiTheme="minorHAnsi" w:eastAsiaTheme="minorEastAsia" w:hAnsiTheme="minorHAnsi" w:cstheme="minorBidi"/>
            <w:noProof/>
            <w:sz w:val="22"/>
            <w:szCs w:val="22"/>
            <w:lang w:eastAsia="en-GB"/>
          </w:rPr>
          <w:tab/>
        </w:r>
        <w:r w:rsidR="00F4253A" w:rsidRPr="00F51025">
          <w:rPr>
            <w:rStyle w:val="Hyperlink"/>
            <w:noProof/>
          </w:rPr>
          <w:t>Estimating Operational and Regular Maintenance Costs</w:t>
        </w:r>
        <w:r w:rsidR="00F4253A">
          <w:rPr>
            <w:noProof/>
            <w:webHidden/>
          </w:rPr>
          <w:tab/>
        </w:r>
        <w:r>
          <w:rPr>
            <w:noProof/>
            <w:webHidden/>
          </w:rPr>
          <w:fldChar w:fldCharType="begin"/>
        </w:r>
        <w:r w:rsidR="00F4253A">
          <w:rPr>
            <w:noProof/>
            <w:webHidden/>
          </w:rPr>
          <w:instrText xml:space="preserve"> PAGEREF _Toc341694615 \h </w:instrText>
        </w:r>
        <w:r>
          <w:rPr>
            <w:noProof/>
            <w:webHidden/>
          </w:rPr>
        </w:r>
        <w:r>
          <w:rPr>
            <w:noProof/>
            <w:webHidden/>
          </w:rPr>
          <w:fldChar w:fldCharType="separate"/>
        </w:r>
        <w:r w:rsidR="00F4253A">
          <w:rPr>
            <w:noProof/>
            <w:webHidden/>
          </w:rPr>
          <w:t>4</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6" w:history="1">
        <w:r w:rsidR="00F4253A" w:rsidRPr="00F51025">
          <w:rPr>
            <w:rStyle w:val="Hyperlink"/>
            <w:noProof/>
          </w:rPr>
          <w:t>2.3</w:t>
        </w:r>
        <w:r w:rsidR="00F4253A">
          <w:rPr>
            <w:rFonts w:asciiTheme="minorHAnsi" w:eastAsiaTheme="minorEastAsia" w:hAnsiTheme="minorHAnsi" w:cstheme="minorBidi"/>
            <w:noProof/>
            <w:sz w:val="22"/>
            <w:szCs w:val="22"/>
            <w:lang w:eastAsia="en-GB"/>
          </w:rPr>
          <w:tab/>
        </w:r>
        <w:r w:rsidR="00F4253A" w:rsidRPr="00F51025">
          <w:rPr>
            <w:rStyle w:val="Hyperlink"/>
            <w:noProof/>
          </w:rPr>
          <w:t>Renewal Maintenance Costs</w:t>
        </w:r>
        <w:r w:rsidR="00F4253A">
          <w:rPr>
            <w:noProof/>
            <w:webHidden/>
          </w:rPr>
          <w:tab/>
        </w:r>
        <w:r>
          <w:rPr>
            <w:noProof/>
            <w:webHidden/>
          </w:rPr>
          <w:fldChar w:fldCharType="begin"/>
        </w:r>
        <w:r w:rsidR="00F4253A">
          <w:rPr>
            <w:noProof/>
            <w:webHidden/>
          </w:rPr>
          <w:instrText xml:space="preserve"> PAGEREF _Toc341694616 \h </w:instrText>
        </w:r>
        <w:r>
          <w:rPr>
            <w:noProof/>
            <w:webHidden/>
          </w:rPr>
        </w:r>
        <w:r>
          <w:rPr>
            <w:noProof/>
            <w:webHidden/>
          </w:rPr>
          <w:fldChar w:fldCharType="separate"/>
        </w:r>
        <w:r w:rsidR="00F4253A">
          <w:rPr>
            <w:noProof/>
            <w:webHidden/>
          </w:rPr>
          <w:t>5</w:t>
        </w:r>
        <w:r>
          <w:rPr>
            <w:noProof/>
            <w:webHidden/>
          </w:rPr>
          <w:fldChar w:fldCharType="end"/>
        </w:r>
      </w:hyperlink>
    </w:p>
    <w:p w:rsidR="00F4253A" w:rsidRDefault="00EA01C7">
      <w:pPr>
        <w:pStyle w:val="TOC1"/>
        <w:rPr>
          <w:rFonts w:asciiTheme="minorHAnsi" w:eastAsiaTheme="minorEastAsia" w:hAnsiTheme="minorHAnsi" w:cstheme="minorBidi"/>
          <w:b w:val="0"/>
          <w:noProof/>
          <w:sz w:val="22"/>
          <w:szCs w:val="22"/>
          <w:lang w:eastAsia="en-GB"/>
        </w:rPr>
      </w:pPr>
      <w:hyperlink w:anchor="_Toc341694617" w:history="1">
        <w:r w:rsidR="00F4253A" w:rsidRPr="00F51025">
          <w:rPr>
            <w:rStyle w:val="Hyperlink"/>
            <w:noProof/>
          </w:rPr>
          <w:t>3</w:t>
        </w:r>
        <w:r w:rsidR="00F4253A">
          <w:rPr>
            <w:rFonts w:asciiTheme="minorHAnsi" w:eastAsiaTheme="minorEastAsia" w:hAnsiTheme="minorHAnsi" w:cstheme="minorBidi"/>
            <w:b w:val="0"/>
            <w:noProof/>
            <w:sz w:val="22"/>
            <w:szCs w:val="22"/>
            <w:lang w:eastAsia="en-GB"/>
          </w:rPr>
          <w:tab/>
        </w:r>
        <w:r w:rsidR="00F4253A" w:rsidRPr="00F51025">
          <w:rPr>
            <w:rStyle w:val="Hyperlink"/>
            <w:noProof/>
          </w:rPr>
          <w:t>Revenue Collection Costs</w:t>
        </w:r>
        <w:r w:rsidR="00F4253A">
          <w:rPr>
            <w:noProof/>
            <w:webHidden/>
          </w:rPr>
          <w:tab/>
        </w:r>
        <w:r>
          <w:rPr>
            <w:noProof/>
            <w:webHidden/>
          </w:rPr>
          <w:fldChar w:fldCharType="begin"/>
        </w:r>
        <w:r w:rsidR="00F4253A">
          <w:rPr>
            <w:noProof/>
            <w:webHidden/>
          </w:rPr>
          <w:instrText xml:space="preserve"> PAGEREF _Toc341694617 \h </w:instrText>
        </w:r>
        <w:r>
          <w:rPr>
            <w:noProof/>
            <w:webHidden/>
          </w:rPr>
        </w:r>
        <w:r>
          <w:rPr>
            <w:noProof/>
            <w:webHidden/>
          </w:rPr>
          <w:fldChar w:fldCharType="separate"/>
        </w:r>
        <w:r w:rsidR="00F4253A">
          <w:rPr>
            <w:noProof/>
            <w:webHidden/>
          </w:rPr>
          <w:t>8</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8" w:history="1">
        <w:r w:rsidR="00F4253A" w:rsidRPr="00F51025">
          <w:rPr>
            <w:rStyle w:val="Hyperlink"/>
            <w:noProof/>
          </w:rPr>
          <w:t>3.1</w:t>
        </w:r>
        <w:r w:rsidR="00F4253A">
          <w:rPr>
            <w:rFonts w:asciiTheme="minorHAnsi" w:eastAsiaTheme="minorEastAsia" w:hAnsiTheme="minorHAnsi" w:cstheme="minorBidi"/>
            <w:noProof/>
            <w:sz w:val="22"/>
            <w:szCs w:val="22"/>
            <w:lang w:eastAsia="en-GB"/>
          </w:rPr>
          <w:tab/>
        </w:r>
        <w:r w:rsidR="00F4253A" w:rsidRPr="00F51025">
          <w:rPr>
            <w:rStyle w:val="Hyperlink"/>
            <w:noProof/>
          </w:rPr>
          <w:t>Introduction</w:t>
        </w:r>
        <w:r w:rsidR="00F4253A">
          <w:rPr>
            <w:noProof/>
            <w:webHidden/>
          </w:rPr>
          <w:tab/>
        </w:r>
        <w:r>
          <w:rPr>
            <w:noProof/>
            <w:webHidden/>
          </w:rPr>
          <w:fldChar w:fldCharType="begin"/>
        </w:r>
        <w:r w:rsidR="00F4253A">
          <w:rPr>
            <w:noProof/>
            <w:webHidden/>
          </w:rPr>
          <w:instrText xml:space="preserve"> PAGEREF _Toc341694618 \h </w:instrText>
        </w:r>
        <w:r>
          <w:rPr>
            <w:noProof/>
            <w:webHidden/>
          </w:rPr>
        </w:r>
        <w:r>
          <w:rPr>
            <w:noProof/>
            <w:webHidden/>
          </w:rPr>
          <w:fldChar w:fldCharType="separate"/>
        </w:r>
        <w:r w:rsidR="00F4253A">
          <w:rPr>
            <w:noProof/>
            <w:webHidden/>
          </w:rPr>
          <w:t>8</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19" w:history="1">
        <w:r w:rsidR="00F4253A" w:rsidRPr="00F51025">
          <w:rPr>
            <w:rStyle w:val="Hyperlink"/>
            <w:noProof/>
          </w:rPr>
          <w:t>3.2</w:t>
        </w:r>
        <w:r w:rsidR="00F4253A">
          <w:rPr>
            <w:rFonts w:asciiTheme="minorHAnsi" w:eastAsiaTheme="minorEastAsia" w:hAnsiTheme="minorHAnsi" w:cstheme="minorBidi"/>
            <w:noProof/>
            <w:sz w:val="22"/>
            <w:szCs w:val="22"/>
            <w:lang w:eastAsia="en-GB"/>
          </w:rPr>
          <w:tab/>
        </w:r>
        <w:r w:rsidR="00F4253A" w:rsidRPr="00F51025">
          <w:rPr>
            <w:rStyle w:val="Hyperlink"/>
            <w:noProof/>
          </w:rPr>
          <w:t>Sources</w:t>
        </w:r>
        <w:r w:rsidR="00F4253A">
          <w:rPr>
            <w:noProof/>
            <w:webHidden/>
          </w:rPr>
          <w:tab/>
        </w:r>
        <w:r>
          <w:rPr>
            <w:noProof/>
            <w:webHidden/>
          </w:rPr>
          <w:fldChar w:fldCharType="begin"/>
        </w:r>
        <w:r w:rsidR="00F4253A">
          <w:rPr>
            <w:noProof/>
            <w:webHidden/>
          </w:rPr>
          <w:instrText xml:space="preserve"> PAGEREF _Toc341694619 \h </w:instrText>
        </w:r>
        <w:r>
          <w:rPr>
            <w:noProof/>
            <w:webHidden/>
          </w:rPr>
        </w:r>
        <w:r>
          <w:rPr>
            <w:noProof/>
            <w:webHidden/>
          </w:rPr>
          <w:fldChar w:fldCharType="separate"/>
        </w:r>
        <w:r w:rsidR="00F4253A">
          <w:rPr>
            <w:noProof/>
            <w:webHidden/>
          </w:rPr>
          <w:t>8</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0" w:history="1">
        <w:r w:rsidR="00F4253A" w:rsidRPr="00F51025">
          <w:rPr>
            <w:rStyle w:val="Hyperlink"/>
            <w:noProof/>
          </w:rPr>
          <w:t>3.3</w:t>
        </w:r>
        <w:r w:rsidR="00F4253A">
          <w:rPr>
            <w:rFonts w:asciiTheme="minorHAnsi" w:eastAsiaTheme="minorEastAsia" w:hAnsiTheme="minorHAnsi" w:cstheme="minorBidi"/>
            <w:noProof/>
            <w:sz w:val="22"/>
            <w:szCs w:val="22"/>
            <w:lang w:eastAsia="en-GB"/>
          </w:rPr>
          <w:tab/>
        </w:r>
        <w:r w:rsidR="00F4253A" w:rsidRPr="00F51025">
          <w:rPr>
            <w:rStyle w:val="Hyperlink"/>
            <w:noProof/>
          </w:rPr>
          <w:t>Detection and Debtor Identification</w:t>
        </w:r>
        <w:r w:rsidR="00F4253A">
          <w:rPr>
            <w:noProof/>
            <w:webHidden/>
          </w:rPr>
          <w:tab/>
        </w:r>
        <w:r>
          <w:rPr>
            <w:noProof/>
            <w:webHidden/>
          </w:rPr>
          <w:fldChar w:fldCharType="begin"/>
        </w:r>
        <w:r w:rsidR="00F4253A">
          <w:rPr>
            <w:noProof/>
            <w:webHidden/>
          </w:rPr>
          <w:instrText xml:space="preserve"> PAGEREF _Toc341694620 \h </w:instrText>
        </w:r>
        <w:r>
          <w:rPr>
            <w:noProof/>
            <w:webHidden/>
          </w:rPr>
        </w:r>
        <w:r>
          <w:rPr>
            <w:noProof/>
            <w:webHidden/>
          </w:rPr>
          <w:fldChar w:fldCharType="separate"/>
        </w:r>
        <w:r w:rsidR="00F4253A">
          <w:rPr>
            <w:noProof/>
            <w:webHidden/>
          </w:rPr>
          <w:t>8</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1" w:history="1">
        <w:r w:rsidR="00F4253A" w:rsidRPr="00F51025">
          <w:rPr>
            <w:rStyle w:val="Hyperlink"/>
            <w:noProof/>
          </w:rPr>
          <w:t>3.4</w:t>
        </w:r>
        <w:r w:rsidR="00F4253A">
          <w:rPr>
            <w:rFonts w:asciiTheme="minorHAnsi" w:eastAsiaTheme="minorEastAsia" w:hAnsiTheme="minorHAnsi" w:cstheme="minorBidi"/>
            <w:noProof/>
            <w:sz w:val="22"/>
            <w:szCs w:val="22"/>
            <w:lang w:eastAsia="en-GB"/>
          </w:rPr>
          <w:tab/>
        </w:r>
        <w:r w:rsidR="00F4253A" w:rsidRPr="00F51025">
          <w:rPr>
            <w:rStyle w:val="Hyperlink"/>
            <w:noProof/>
          </w:rPr>
          <w:t>Payment</w:t>
        </w:r>
        <w:r w:rsidR="00F4253A">
          <w:rPr>
            <w:noProof/>
            <w:webHidden/>
          </w:rPr>
          <w:tab/>
        </w:r>
        <w:r>
          <w:rPr>
            <w:noProof/>
            <w:webHidden/>
          </w:rPr>
          <w:fldChar w:fldCharType="begin"/>
        </w:r>
        <w:r w:rsidR="00F4253A">
          <w:rPr>
            <w:noProof/>
            <w:webHidden/>
          </w:rPr>
          <w:instrText xml:space="preserve"> PAGEREF _Toc341694621 \h </w:instrText>
        </w:r>
        <w:r>
          <w:rPr>
            <w:noProof/>
            <w:webHidden/>
          </w:rPr>
        </w:r>
        <w:r>
          <w:rPr>
            <w:noProof/>
            <w:webHidden/>
          </w:rPr>
          <w:fldChar w:fldCharType="separate"/>
        </w:r>
        <w:r w:rsidR="00F4253A">
          <w:rPr>
            <w:noProof/>
            <w:webHidden/>
          </w:rPr>
          <w:t>9</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2" w:history="1">
        <w:r w:rsidR="00F4253A" w:rsidRPr="00F51025">
          <w:rPr>
            <w:rStyle w:val="Hyperlink"/>
            <w:noProof/>
          </w:rPr>
          <w:t>3.5</w:t>
        </w:r>
        <w:r w:rsidR="00F4253A">
          <w:rPr>
            <w:rFonts w:asciiTheme="minorHAnsi" w:eastAsiaTheme="minorEastAsia" w:hAnsiTheme="minorHAnsi" w:cstheme="minorBidi"/>
            <w:noProof/>
            <w:sz w:val="22"/>
            <w:szCs w:val="22"/>
            <w:lang w:eastAsia="en-GB"/>
          </w:rPr>
          <w:tab/>
        </w:r>
        <w:r w:rsidR="00F4253A" w:rsidRPr="00F51025">
          <w:rPr>
            <w:rStyle w:val="Hyperlink"/>
            <w:noProof/>
          </w:rPr>
          <w:t>Enforcement</w:t>
        </w:r>
        <w:r w:rsidR="00F4253A">
          <w:rPr>
            <w:noProof/>
            <w:webHidden/>
          </w:rPr>
          <w:tab/>
        </w:r>
        <w:r>
          <w:rPr>
            <w:noProof/>
            <w:webHidden/>
          </w:rPr>
          <w:fldChar w:fldCharType="begin"/>
        </w:r>
        <w:r w:rsidR="00F4253A">
          <w:rPr>
            <w:noProof/>
            <w:webHidden/>
          </w:rPr>
          <w:instrText xml:space="preserve"> PAGEREF _Toc341694622 \h </w:instrText>
        </w:r>
        <w:r>
          <w:rPr>
            <w:noProof/>
            <w:webHidden/>
          </w:rPr>
        </w:r>
        <w:r>
          <w:rPr>
            <w:noProof/>
            <w:webHidden/>
          </w:rPr>
          <w:fldChar w:fldCharType="separate"/>
        </w:r>
        <w:r w:rsidR="00F4253A">
          <w:rPr>
            <w:noProof/>
            <w:webHidden/>
          </w:rPr>
          <w:t>9</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3" w:history="1">
        <w:r w:rsidR="00F4253A" w:rsidRPr="00F51025">
          <w:rPr>
            <w:rStyle w:val="Hyperlink"/>
            <w:noProof/>
          </w:rPr>
          <w:t>3.6</w:t>
        </w:r>
        <w:r w:rsidR="00F4253A">
          <w:rPr>
            <w:rFonts w:asciiTheme="minorHAnsi" w:eastAsiaTheme="minorEastAsia" w:hAnsiTheme="minorHAnsi" w:cstheme="minorBidi"/>
            <w:noProof/>
            <w:sz w:val="22"/>
            <w:szCs w:val="22"/>
            <w:lang w:eastAsia="en-GB"/>
          </w:rPr>
          <w:tab/>
        </w:r>
        <w:r w:rsidR="00F4253A" w:rsidRPr="00F51025">
          <w:rPr>
            <w:rStyle w:val="Hyperlink"/>
            <w:noProof/>
          </w:rPr>
          <w:t>Summary of Costs</w:t>
        </w:r>
        <w:r w:rsidR="00F4253A">
          <w:rPr>
            <w:noProof/>
            <w:webHidden/>
          </w:rPr>
          <w:tab/>
        </w:r>
        <w:r>
          <w:rPr>
            <w:noProof/>
            <w:webHidden/>
          </w:rPr>
          <w:fldChar w:fldCharType="begin"/>
        </w:r>
        <w:r w:rsidR="00F4253A">
          <w:rPr>
            <w:noProof/>
            <w:webHidden/>
          </w:rPr>
          <w:instrText xml:space="preserve"> PAGEREF _Toc341694623 \h </w:instrText>
        </w:r>
        <w:r>
          <w:rPr>
            <w:noProof/>
            <w:webHidden/>
          </w:rPr>
        </w:r>
        <w:r>
          <w:rPr>
            <w:noProof/>
            <w:webHidden/>
          </w:rPr>
          <w:fldChar w:fldCharType="separate"/>
        </w:r>
        <w:r w:rsidR="00F4253A">
          <w:rPr>
            <w:noProof/>
            <w:webHidden/>
          </w:rPr>
          <w:t>9</w:t>
        </w:r>
        <w:r>
          <w:rPr>
            <w:noProof/>
            <w:webHidden/>
          </w:rPr>
          <w:fldChar w:fldCharType="end"/>
        </w:r>
      </w:hyperlink>
    </w:p>
    <w:p w:rsidR="00F4253A" w:rsidRDefault="00EA01C7">
      <w:pPr>
        <w:pStyle w:val="TOC1"/>
        <w:rPr>
          <w:rFonts w:asciiTheme="minorHAnsi" w:eastAsiaTheme="minorEastAsia" w:hAnsiTheme="minorHAnsi" w:cstheme="minorBidi"/>
          <w:b w:val="0"/>
          <w:noProof/>
          <w:sz w:val="22"/>
          <w:szCs w:val="22"/>
          <w:lang w:eastAsia="en-GB"/>
        </w:rPr>
      </w:pPr>
      <w:hyperlink w:anchor="_Toc341694624" w:history="1">
        <w:r w:rsidR="00F4253A" w:rsidRPr="00F51025">
          <w:rPr>
            <w:rStyle w:val="Hyperlink"/>
            <w:noProof/>
          </w:rPr>
          <w:t>4</w:t>
        </w:r>
        <w:r w:rsidR="00F4253A">
          <w:rPr>
            <w:rFonts w:asciiTheme="minorHAnsi" w:eastAsiaTheme="minorEastAsia" w:hAnsiTheme="minorHAnsi" w:cstheme="minorBidi"/>
            <w:b w:val="0"/>
            <w:noProof/>
            <w:sz w:val="22"/>
            <w:szCs w:val="22"/>
            <w:lang w:eastAsia="en-GB"/>
          </w:rPr>
          <w:tab/>
        </w:r>
        <w:r w:rsidR="00F4253A" w:rsidRPr="00F51025">
          <w:rPr>
            <w:rStyle w:val="Hyperlink"/>
            <w:noProof/>
          </w:rPr>
          <w:t>Maintenance Cost Breakdown</w:t>
        </w:r>
        <w:r w:rsidR="00F4253A">
          <w:rPr>
            <w:noProof/>
            <w:webHidden/>
          </w:rPr>
          <w:tab/>
        </w:r>
        <w:r>
          <w:rPr>
            <w:noProof/>
            <w:webHidden/>
          </w:rPr>
          <w:fldChar w:fldCharType="begin"/>
        </w:r>
        <w:r w:rsidR="00F4253A">
          <w:rPr>
            <w:noProof/>
            <w:webHidden/>
          </w:rPr>
          <w:instrText xml:space="preserve"> PAGEREF _Toc341694624 \h </w:instrText>
        </w:r>
        <w:r>
          <w:rPr>
            <w:noProof/>
            <w:webHidden/>
          </w:rPr>
        </w:r>
        <w:r>
          <w:rPr>
            <w:noProof/>
            <w:webHidden/>
          </w:rPr>
          <w:fldChar w:fldCharType="separate"/>
        </w:r>
        <w:r w:rsidR="00F4253A">
          <w:rPr>
            <w:noProof/>
            <w:webHidden/>
          </w:rPr>
          <w:t>12</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5" w:history="1">
        <w:r w:rsidR="00F4253A" w:rsidRPr="00F51025">
          <w:rPr>
            <w:rStyle w:val="Hyperlink"/>
            <w:noProof/>
          </w:rPr>
          <w:t>4.1</w:t>
        </w:r>
        <w:r w:rsidR="00F4253A">
          <w:rPr>
            <w:rFonts w:asciiTheme="minorHAnsi" w:eastAsiaTheme="minorEastAsia" w:hAnsiTheme="minorHAnsi" w:cstheme="minorBidi"/>
            <w:noProof/>
            <w:sz w:val="22"/>
            <w:szCs w:val="22"/>
            <w:lang w:eastAsia="en-GB"/>
          </w:rPr>
          <w:tab/>
        </w:r>
        <w:r w:rsidR="00F4253A" w:rsidRPr="00F51025">
          <w:rPr>
            <w:rStyle w:val="Hyperlink"/>
            <w:noProof/>
          </w:rPr>
          <w:t>Introduction</w:t>
        </w:r>
        <w:r w:rsidR="00F4253A">
          <w:rPr>
            <w:noProof/>
            <w:webHidden/>
          </w:rPr>
          <w:tab/>
        </w:r>
        <w:r>
          <w:rPr>
            <w:noProof/>
            <w:webHidden/>
          </w:rPr>
          <w:fldChar w:fldCharType="begin"/>
        </w:r>
        <w:r w:rsidR="00F4253A">
          <w:rPr>
            <w:noProof/>
            <w:webHidden/>
          </w:rPr>
          <w:instrText xml:space="preserve"> PAGEREF _Toc341694625 \h </w:instrText>
        </w:r>
        <w:r>
          <w:rPr>
            <w:noProof/>
            <w:webHidden/>
          </w:rPr>
        </w:r>
        <w:r>
          <w:rPr>
            <w:noProof/>
            <w:webHidden/>
          </w:rPr>
          <w:fldChar w:fldCharType="separate"/>
        </w:r>
        <w:r w:rsidR="00F4253A">
          <w:rPr>
            <w:noProof/>
            <w:webHidden/>
          </w:rPr>
          <w:t>12</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6" w:history="1">
        <w:r w:rsidR="00F4253A" w:rsidRPr="00F51025">
          <w:rPr>
            <w:rStyle w:val="Hyperlink"/>
            <w:noProof/>
          </w:rPr>
          <w:t>4.2</w:t>
        </w:r>
        <w:r w:rsidR="00F4253A">
          <w:rPr>
            <w:rFonts w:asciiTheme="minorHAnsi" w:eastAsiaTheme="minorEastAsia" w:hAnsiTheme="minorHAnsi" w:cstheme="minorBidi"/>
            <w:noProof/>
            <w:sz w:val="22"/>
            <w:szCs w:val="22"/>
            <w:lang w:eastAsia="en-GB"/>
          </w:rPr>
          <w:tab/>
        </w:r>
        <w:r w:rsidR="00F4253A" w:rsidRPr="00F51025">
          <w:rPr>
            <w:rStyle w:val="Hyperlink"/>
            <w:noProof/>
          </w:rPr>
          <w:t>Routine Operating and Maintenance Costs</w:t>
        </w:r>
        <w:r w:rsidR="00F4253A">
          <w:rPr>
            <w:noProof/>
            <w:webHidden/>
          </w:rPr>
          <w:tab/>
        </w:r>
        <w:r>
          <w:rPr>
            <w:noProof/>
            <w:webHidden/>
          </w:rPr>
          <w:fldChar w:fldCharType="begin"/>
        </w:r>
        <w:r w:rsidR="00F4253A">
          <w:rPr>
            <w:noProof/>
            <w:webHidden/>
          </w:rPr>
          <w:instrText xml:space="preserve"> PAGEREF _Toc341694626 \h </w:instrText>
        </w:r>
        <w:r>
          <w:rPr>
            <w:noProof/>
            <w:webHidden/>
          </w:rPr>
        </w:r>
        <w:r>
          <w:rPr>
            <w:noProof/>
            <w:webHidden/>
          </w:rPr>
          <w:fldChar w:fldCharType="separate"/>
        </w:r>
        <w:r w:rsidR="00F4253A">
          <w:rPr>
            <w:noProof/>
            <w:webHidden/>
          </w:rPr>
          <w:t>12</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7" w:history="1">
        <w:r w:rsidR="00F4253A" w:rsidRPr="00F51025">
          <w:rPr>
            <w:rStyle w:val="Hyperlink"/>
            <w:noProof/>
          </w:rPr>
          <w:t>4.3</w:t>
        </w:r>
        <w:r w:rsidR="00F4253A">
          <w:rPr>
            <w:rFonts w:asciiTheme="minorHAnsi" w:eastAsiaTheme="minorEastAsia" w:hAnsiTheme="minorHAnsi" w:cstheme="minorBidi"/>
            <w:noProof/>
            <w:sz w:val="22"/>
            <w:szCs w:val="22"/>
            <w:lang w:eastAsia="en-GB"/>
          </w:rPr>
          <w:tab/>
        </w:r>
        <w:r w:rsidR="00F4253A" w:rsidRPr="00F51025">
          <w:rPr>
            <w:rStyle w:val="Hyperlink"/>
            <w:noProof/>
          </w:rPr>
          <w:t>Renewal Operating and Maintenance Costs</w:t>
        </w:r>
        <w:r w:rsidR="00F4253A">
          <w:rPr>
            <w:noProof/>
            <w:webHidden/>
          </w:rPr>
          <w:tab/>
        </w:r>
        <w:r>
          <w:rPr>
            <w:noProof/>
            <w:webHidden/>
          </w:rPr>
          <w:fldChar w:fldCharType="begin"/>
        </w:r>
        <w:r w:rsidR="00F4253A">
          <w:rPr>
            <w:noProof/>
            <w:webHidden/>
          </w:rPr>
          <w:instrText xml:space="preserve"> PAGEREF _Toc341694627 \h </w:instrText>
        </w:r>
        <w:r>
          <w:rPr>
            <w:noProof/>
            <w:webHidden/>
          </w:rPr>
        </w:r>
        <w:r>
          <w:rPr>
            <w:noProof/>
            <w:webHidden/>
          </w:rPr>
          <w:fldChar w:fldCharType="separate"/>
        </w:r>
        <w:r w:rsidR="00F4253A">
          <w:rPr>
            <w:noProof/>
            <w:webHidden/>
          </w:rPr>
          <w:t>12</w:t>
        </w:r>
        <w:r>
          <w:rPr>
            <w:noProof/>
            <w:webHidden/>
          </w:rPr>
          <w:fldChar w:fldCharType="end"/>
        </w:r>
      </w:hyperlink>
    </w:p>
    <w:p w:rsidR="00F4253A" w:rsidRDefault="00EA01C7">
      <w:pPr>
        <w:pStyle w:val="TOC1"/>
        <w:rPr>
          <w:rFonts w:asciiTheme="minorHAnsi" w:eastAsiaTheme="minorEastAsia" w:hAnsiTheme="minorHAnsi" w:cstheme="minorBidi"/>
          <w:b w:val="0"/>
          <w:noProof/>
          <w:sz w:val="22"/>
          <w:szCs w:val="22"/>
          <w:lang w:eastAsia="en-GB"/>
        </w:rPr>
      </w:pPr>
      <w:hyperlink w:anchor="_Toc341694628" w:history="1">
        <w:r w:rsidR="00F4253A" w:rsidRPr="00F51025">
          <w:rPr>
            <w:rStyle w:val="Hyperlink"/>
            <w:noProof/>
          </w:rPr>
          <w:t>5</w:t>
        </w:r>
        <w:r w:rsidR="00F4253A">
          <w:rPr>
            <w:rFonts w:asciiTheme="minorHAnsi" w:eastAsiaTheme="minorEastAsia" w:hAnsiTheme="minorHAnsi" w:cstheme="minorBidi"/>
            <w:b w:val="0"/>
            <w:noProof/>
            <w:sz w:val="22"/>
            <w:szCs w:val="22"/>
            <w:lang w:eastAsia="en-GB"/>
          </w:rPr>
          <w:tab/>
        </w:r>
        <w:r w:rsidR="00F4253A" w:rsidRPr="00F51025">
          <w:rPr>
            <w:rStyle w:val="Hyperlink"/>
            <w:noProof/>
          </w:rPr>
          <w:t>Revenue</w:t>
        </w:r>
        <w:r w:rsidR="00F4253A">
          <w:rPr>
            <w:noProof/>
            <w:webHidden/>
          </w:rPr>
          <w:tab/>
        </w:r>
        <w:r>
          <w:rPr>
            <w:noProof/>
            <w:webHidden/>
          </w:rPr>
          <w:fldChar w:fldCharType="begin"/>
        </w:r>
        <w:r w:rsidR="00F4253A">
          <w:rPr>
            <w:noProof/>
            <w:webHidden/>
          </w:rPr>
          <w:instrText xml:space="preserve"> PAGEREF _Toc341694628 \h </w:instrText>
        </w:r>
        <w:r>
          <w:rPr>
            <w:noProof/>
            <w:webHidden/>
          </w:rPr>
        </w:r>
        <w:r>
          <w:rPr>
            <w:noProof/>
            <w:webHidden/>
          </w:rPr>
          <w:fldChar w:fldCharType="separate"/>
        </w:r>
        <w:r w:rsidR="00F4253A">
          <w:rPr>
            <w:noProof/>
            <w:webHidden/>
          </w:rPr>
          <w:t>14</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29" w:history="1">
        <w:r w:rsidR="00F4253A" w:rsidRPr="00F51025">
          <w:rPr>
            <w:rStyle w:val="Hyperlink"/>
            <w:noProof/>
          </w:rPr>
          <w:t>5.1</w:t>
        </w:r>
        <w:r w:rsidR="00F4253A">
          <w:rPr>
            <w:rFonts w:asciiTheme="minorHAnsi" w:eastAsiaTheme="minorEastAsia" w:hAnsiTheme="minorHAnsi" w:cstheme="minorBidi"/>
            <w:noProof/>
            <w:sz w:val="22"/>
            <w:szCs w:val="22"/>
            <w:lang w:eastAsia="en-GB"/>
          </w:rPr>
          <w:tab/>
        </w:r>
        <w:r w:rsidR="00F4253A" w:rsidRPr="00F51025">
          <w:rPr>
            <w:rStyle w:val="Hyperlink"/>
            <w:noProof/>
          </w:rPr>
          <w:t>Introduction</w:t>
        </w:r>
        <w:r w:rsidR="00F4253A">
          <w:rPr>
            <w:noProof/>
            <w:webHidden/>
          </w:rPr>
          <w:tab/>
        </w:r>
        <w:r>
          <w:rPr>
            <w:noProof/>
            <w:webHidden/>
          </w:rPr>
          <w:fldChar w:fldCharType="begin"/>
        </w:r>
        <w:r w:rsidR="00F4253A">
          <w:rPr>
            <w:noProof/>
            <w:webHidden/>
          </w:rPr>
          <w:instrText xml:space="preserve"> PAGEREF _Toc341694629 \h </w:instrText>
        </w:r>
        <w:r>
          <w:rPr>
            <w:noProof/>
            <w:webHidden/>
          </w:rPr>
        </w:r>
        <w:r>
          <w:rPr>
            <w:noProof/>
            <w:webHidden/>
          </w:rPr>
          <w:fldChar w:fldCharType="separate"/>
        </w:r>
        <w:r w:rsidR="00F4253A">
          <w:rPr>
            <w:noProof/>
            <w:webHidden/>
          </w:rPr>
          <w:t>14</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30" w:history="1">
        <w:r w:rsidR="00F4253A" w:rsidRPr="00F51025">
          <w:rPr>
            <w:rStyle w:val="Hyperlink"/>
            <w:noProof/>
          </w:rPr>
          <w:t>5.2</w:t>
        </w:r>
        <w:r w:rsidR="00F4253A">
          <w:rPr>
            <w:rFonts w:asciiTheme="minorHAnsi" w:eastAsiaTheme="minorEastAsia" w:hAnsiTheme="minorHAnsi" w:cstheme="minorBidi"/>
            <w:noProof/>
            <w:sz w:val="22"/>
            <w:szCs w:val="22"/>
            <w:lang w:eastAsia="en-GB"/>
          </w:rPr>
          <w:tab/>
        </w:r>
        <w:r w:rsidR="00F4253A" w:rsidRPr="00F51025">
          <w:rPr>
            <w:rStyle w:val="Hyperlink"/>
            <w:noProof/>
          </w:rPr>
          <w:t>Estimating Traffic Volumes</w:t>
        </w:r>
        <w:r w:rsidR="00F4253A">
          <w:rPr>
            <w:noProof/>
            <w:webHidden/>
          </w:rPr>
          <w:tab/>
        </w:r>
        <w:r>
          <w:rPr>
            <w:noProof/>
            <w:webHidden/>
          </w:rPr>
          <w:fldChar w:fldCharType="begin"/>
        </w:r>
        <w:r w:rsidR="00F4253A">
          <w:rPr>
            <w:noProof/>
            <w:webHidden/>
          </w:rPr>
          <w:instrText xml:space="preserve"> PAGEREF _Toc341694630 \h </w:instrText>
        </w:r>
        <w:r>
          <w:rPr>
            <w:noProof/>
            <w:webHidden/>
          </w:rPr>
        </w:r>
        <w:r>
          <w:rPr>
            <w:noProof/>
            <w:webHidden/>
          </w:rPr>
          <w:fldChar w:fldCharType="separate"/>
        </w:r>
        <w:r w:rsidR="00F4253A">
          <w:rPr>
            <w:noProof/>
            <w:webHidden/>
          </w:rPr>
          <w:t>14</w:t>
        </w:r>
        <w:r>
          <w:rPr>
            <w:noProof/>
            <w:webHidden/>
          </w:rPr>
          <w:fldChar w:fldCharType="end"/>
        </w:r>
      </w:hyperlink>
    </w:p>
    <w:p w:rsidR="00F4253A" w:rsidRDefault="00EA01C7">
      <w:pPr>
        <w:pStyle w:val="TOC2"/>
        <w:tabs>
          <w:tab w:val="left" w:pos="1360"/>
        </w:tabs>
        <w:rPr>
          <w:rFonts w:asciiTheme="minorHAnsi" w:eastAsiaTheme="minorEastAsia" w:hAnsiTheme="minorHAnsi" w:cstheme="minorBidi"/>
          <w:noProof/>
          <w:sz w:val="22"/>
          <w:szCs w:val="22"/>
          <w:lang w:eastAsia="en-GB"/>
        </w:rPr>
      </w:pPr>
      <w:hyperlink w:anchor="_Toc341694631" w:history="1">
        <w:r w:rsidR="00F4253A" w:rsidRPr="00F51025">
          <w:rPr>
            <w:rStyle w:val="Hyperlink"/>
            <w:noProof/>
          </w:rPr>
          <w:t>5.3</w:t>
        </w:r>
        <w:r w:rsidR="00F4253A">
          <w:rPr>
            <w:rFonts w:asciiTheme="minorHAnsi" w:eastAsiaTheme="minorEastAsia" w:hAnsiTheme="minorHAnsi" w:cstheme="minorBidi"/>
            <w:noProof/>
            <w:sz w:val="22"/>
            <w:szCs w:val="22"/>
            <w:lang w:eastAsia="en-GB"/>
          </w:rPr>
          <w:tab/>
        </w:r>
        <w:r w:rsidR="00F4253A" w:rsidRPr="00F51025">
          <w:rPr>
            <w:rStyle w:val="Hyperlink"/>
            <w:noProof/>
          </w:rPr>
          <w:t>Estimating Average Tolls</w:t>
        </w:r>
        <w:r w:rsidR="00F4253A">
          <w:rPr>
            <w:noProof/>
            <w:webHidden/>
          </w:rPr>
          <w:tab/>
        </w:r>
        <w:r>
          <w:rPr>
            <w:noProof/>
            <w:webHidden/>
          </w:rPr>
          <w:fldChar w:fldCharType="begin"/>
        </w:r>
        <w:r w:rsidR="00F4253A">
          <w:rPr>
            <w:noProof/>
            <w:webHidden/>
          </w:rPr>
          <w:instrText xml:space="preserve"> PAGEREF _Toc341694631 \h </w:instrText>
        </w:r>
        <w:r>
          <w:rPr>
            <w:noProof/>
            <w:webHidden/>
          </w:rPr>
        </w:r>
        <w:r>
          <w:rPr>
            <w:noProof/>
            <w:webHidden/>
          </w:rPr>
          <w:fldChar w:fldCharType="separate"/>
        </w:r>
        <w:r w:rsidR="00F4253A">
          <w:rPr>
            <w:noProof/>
            <w:webHidden/>
          </w:rPr>
          <w:t>14</w:t>
        </w:r>
        <w:r>
          <w:rPr>
            <w:noProof/>
            <w:webHidden/>
          </w:rPr>
          <w:fldChar w:fldCharType="end"/>
        </w:r>
      </w:hyperlink>
    </w:p>
    <w:p w:rsidR="007A378A" w:rsidRDefault="00EA01C7" w:rsidP="000B7D90">
      <w:r>
        <w:rPr>
          <w:b/>
          <w:caps/>
        </w:rPr>
        <w:fldChar w:fldCharType="end"/>
      </w:r>
    </w:p>
    <w:p w:rsidR="007A378A" w:rsidRDefault="007A378A" w:rsidP="000B7D90">
      <w:bookmarkStart w:id="12" w:name="TOP"/>
      <w:bookmarkEnd w:id="12"/>
    </w:p>
    <w:p w:rsidR="007A378A" w:rsidRDefault="007A378A" w:rsidP="000B7D90"/>
    <w:p w:rsidR="007A378A" w:rsidRDefault="007A378A" w:rsidP="000B7D90">
      <w:pPr>
        <w:sectPr w:rsidR="007A378A" w:rsidSect="004E1903">
          <w:headerReference w:type="default" r:id="rId16"/>
          <w:footerReference w:type="default" r:id="rId17"/>
          <w:pgSz w:w="11907" w:h="16840" w:code="9"/>
          <w:pgMar w:top="-3640" w:right="709" w:bottom="1729" w:left="907" w:header="357" w:footer="567" w:gutter="0"/>
          <w:pgNumType w:start="0"/>
          <w:cols w:space="720"/>
          <w:docGrid w:linePitch="360"/>
        </w:sectPr>
      </w:pPr>
    </w:p>
    <w:p w:rsidR="007A378A" w:rsidRPr="001279C6" w:rsidRDefault="007A378A" w:rsidP="00A93C88">
      <w:pPr>
        <w:pStyle w:val="SecDivider"/>
      </w:pPr>
      <w:bookmarkStart w:id="13" w:name="Start"/>
      <w:bookmarkEnd w:id="4"/>
      <w:bookmarkEnd w:id="13"/>
      <w:r w:rsidRPr="001279C6">
        <w:lastRenderedPageBreak/>
        <w:t>Introduction</w:t>
      </w:r>
    </w:p>
    <w:p w:rsidR="007A378A" w:rsidRPr="001279C6" w:rsidRDefault="007A378A" w:rsidP="00F96876">
      <w:pPr>
        <w:pStyle w:val="SecDividerBody"/>
        <w:rPr>
          <w:sz w:val="20"/>
          <w:szCs w:val="20"/>
        </w:rPr>
      </w:pPr>
    </w:p>
    <w:p w:rsidR="007A378A" w:rsidRPr="001279C6" w:rsidRDefault="007A378A" w:rsidP="00F96876">
      <w:pPr>
        <w:pStyle w:val="Body"/>
        <w:rPr>
          <w:sz w:val="20"/>
          <w:szCs w:val="20"/>
        </w:rPr>
      </w:pPr>
    </w:p>
    <w:p w:rsidR="007A378A" w:rsidRPr="001279C6" w:rsidRDefault="007A378A" w:rsidP="00F96876">
      <w:pPr>
        <w:pStyle w:val="Body"/>
        <w:rPr>
          <w:sz w:val="20"/>
          <w:szCs w:val="20"/>
        </w:rPr>
        <w:sectPr w:rsidR="007A378A" w:rsidRPr="001279C6" w:rsidSect="007323AF">
          <w:headerReference w:type="default" r:id="rId18"/>
          <w:footerReference w:type="default" r:id="rId19"/>
          <w:pgSz w:w="11907" w:h="16840" w:code="9"/>
          <w:pgMar w:top="-3640" w:right="709" w:bottom="1729" w:left="6146" w:header="357" w:footer="567" w:gutter="0"/>
          <w:cols w:space="720"/>
          <w:docGrid w:linePitch="360"/>
        </w:sectPr>
      </w:pPr>
    </w:p>
    <w:p w:rsidR="007A378A" w:rsidRPr="001279C6" w:rsidRDefault="007A378A" w:rsidP="00A93C88">
      <w:pPr>
        <w:pStyle w:val="Hdg1"/>
        <w:framePr w:wrap="notBeside"/>
        <w:numPr>
          <w:ilvl w:val="0"/>
          <w:numId w:val="10"/>
        </w:numPr>
      </w:pPr>
      <w:bookmarkStart w:id="14" w:name="_Toc330564354"/>
      <w:bookmarkStart w:id="15" w:name="_Toc332643886"/>
      <w:bookmarkStart w:id="16" w:name="_Toc332644042"/>
      <w:bookmarkStart w:id="17" w:name="_Toc332644058"/>
      <w:bookmarkStart w:id="18" w:name="_Toc332644139"/>
      <w:bookmarkStart w:id="19" w:name="_Toc341694609"/>
      <w:r w:rsidRPr="001279C6">
        <w:lastRenderedPageBreak/>
        <w:t>Introduction</w:t>
      </w:r>
      <w:bookmarkEnd w:id="14"/>
      <w:bookmarkEnd w:id="15"/>
      <w:bookmarkEnd w:id="16"/>
      <w:bookmarkEnd w:id="17"/>
      <w:bookmarkEnd w:id="18"/>
      <w:bookmarkEnd w:id="19"/>
    </w:p>
    <w:p w:rsidR="007A378A" w:rsidRPr="007D5AF3" w:rsidRDefault="007A378A" w:rsidP="0038760B">
      <w:pPr>
        <w:pStyle w:val="Hdg2"/>
        <w:numPr>
          <w:ilvl w:val="1"/>
          <w:numId w:val="10"/>
        </w:numPr>
        <w:spacing w:after="120"/>
        <w:rPr>
          <w:sz w:val="20"/>
          <w:szCs w:val="20"/>
        </w:rPr>
      </w:pPr>
      <w:bookmarkStart w:id="20" w:name="_Toc332643887"/>
      <w:bookmarkStart w:id="21" w:name="_Toc332644059"/>
      <w:bookmarkStart w:id="22" w:name="_Toc332996289"/>
      <w:bookmarkStart w:id="23" w:name="_Toc341694610"/>
      <w:r w:rsidRPr="007D5AF3">
        <w:rPr>
          <w:sz w:val="20"/>
          <w:szCs w:val="20"/>
        </w:rPr>
        <w:t>Background</w:t>
      </w:r>
      <w:bookmarkEnd w:id="20"/>
      <w:bookmarkEnd w:id="21"/>
      <w:bookmarkEnd w:id="22"/>
      <w:bookmarkEnd w:id="23"/>
    </w:p>
    <w:p w:rsidR="00302E0C" w:rsidRDefault="007A378A">
      <w:pPr>
        <w:pStyle w:val="Para3"/>
        <w:numPr>
          <w:ilvl w:val="2"/>
          <w:numId w:val="10"/>
        </w:numPr>
        <w:tabs>
          <w:tab w:val="clear" w:pos="1440"/>
          <w:tab w:val="num" w:pos="709"/>
        </w:tabs>
        <w:rPr>
          <w:i w:val="0"/>
          <w:sz w:val="20"/>
          <w:szCs w:val="20"/>
        </w:rPr>
      </w:pPr>
      <w:r w:rsidRPr="007D5AF3">
        <w:rPr>
          <w:i w:val="0"/>
          <w:sz w:val="20"/>
          <w:szCs w:val="20"/>
        </w:rPr>
        <w:t xml:space="preserve">AECOM has been appointed by the Department for Transport (DfT) to undertake a study to provide </w:t>
      </w:r>
      <w:r w:rsidRPr="00E44B21">
        <w:rPr>
          <w:i w:val="0"/>
          <w:sz w:val="20"/>
          <w:szCs w:val="20"/>
        </w:rPr>
        <w:t>an outline s</w:t>
      </w:r>
      <w:r>
        <w:rPr>
          <w:i w:val="0"/>
          <w:sz w:val="20"/>
          <w:szCs w:val="20"/>
        </w:rPr>
        <w:t>trategic business case for</w:t>
      </w:r>
      <w:r w:rsidRPr="00E44B21">
        <w:rPr>
          <w:i w:val="0"/>
          <w:sz w:val="20"/>
          <w:szCs w:val="20"/>
        </w:rPr>
        <w:t xml:space="preserve"> the three options</w:t>
      </w:r>
      <w:r>
        <w:rPr>
          <w:i w:val="0"/>
          <w:sz w:val="20"/>
          <w:szCs w:val="20"/>
        </w:rPr>
        <w:t xml:space="preserve"> </w:t>
      </w:r>
      <w:r w:rsidRPr="007D5AF3">
        <w:rPr>
          <w:i w:val="0"/>
          <w:sz w:val="20"/>
          <w:szCs w:val="20"/>
        </w:rPr>
        <w:t xml:space="preserve">(plus a variant) for providing additional river crossing capacity in the Lower Thames area.  These options </w:t>
      </w:r>
      <w:r>
        <w:rPr>
          <w:i w:val="0"/>
          <w:sz w:val="20"/>
          <w:szCs w:val="20"/>
        </w:rPr>
        <w:t>were identified in</w:t>
      </w:r>
      <w:r w:rsidRPr="007D5AF3">
        <w:rPr>
          <w:i w:val="0"/>
          <w:sz w:val="20"/>
          <w:szCs w:val="20"/>
        </w:rPr>
        <w:t xml:space="preserve"> a previous study, the ‘Dartford River Crossing Study (2009)’.</w:t>
      </w:r>
      <w:r>
        <w:rPr>
          <w:i w:val="0"/>
          <w:sz w:val="20"/>
          <w:szCs w:val="20"/>
        </w:rPr>
        <w:t xml:space="preserve"> </w:t>
      </w:r>
    </w:p>
    <w:p w:rsidR="00302E0C" w:rsidRDefault="007A378A">
      <w:pPr>
        <w:pStyle w:val="Para3"/>
        <w:numPr>
          <w:ilvl w:val="2"/>
          <w:numId w:val="10"/>
        </w:numPr>
        <w:tabs>
          <w:tab w:val="clear" w:pos="1440"/>
          <w:tab w:val="num" w:pos="709"/>
        </w:tabs>
        <w:rPr>
          <w:i w:val="0"/>
          <w:sz w:val="20"/>
          <w:szCs w:val="20"/>
        </w:rPr>
      </w:pPr>
      <w:r>
        <w:rPr>
          <w:i w:val="0"/>
          <w:sz w:val="20"/>
          <w:szCs w:val="20"/>
        </w:rPr>
        <w:t xml:space="preserve">The objective of this study is </w:t>
      </w:r>
      <w:r w:rsidRPr="00C920D3">
        <w:rPr>
          <w:i w:val="0"/>
          <w:sz w:val="20"/>
          <w:szCs w:val="20"/>
        </w:rPr>
        <w:t>to inform policy on where to provide a new crossing</w:t>
      </w:r>
      <w:r>
        <w:rPr>
          <w:i w:val="0"/>
          <w:sz w:val="20"/>
          <w:szCs w:val="20"/>
        </w:rPr>
        <w:t xml:space="preserve">. It is </w:t>
      </w:r>
      <w:r w:rsidRPr="00C920D3">
        <w:rPr>
          <w:i w:val="0"/>
          <w:sz w:val="20"/>
          <w:szCs w:val="20"/>
        </w:rPr>
        <w:t xml:space="preserve">not </w:t>
      </w:r>
      <w:r>
        <w:rPr>
          <w:i w:val="0"/>
          <w:sz w:val="20"/>
          <w:szCs w:val="20"/>
        </w:rPr>
        <w:t xml:space="preserve">intended </w:t>
      </w:r>
      <w:r w:rsidRPr="00C920D3">
        <w:rPr>
          <w:i w:val="0"/>
          <w:sz w:val="20"/>
          <w:szCs w:val="20"/>
        </w:rPr>
        <w:t>to determine a preferred route</w:t>
      </w:r>
      <w:r>
        <w:rPr>
          <w:i w:val="0"/>
          <w:sz w:val="20"/>
          <w:szCs w:val="20"/>
        </w:rPr>
        <w:t xml:space="preserve">, or detailed design for a new crossing. </w:t>
      </w:r>
    </w:p>
    <w:p w:rsidR="00302E0C" w:rsidRDefault="007A378A">
      <w:pPr>
        <w:pStyle w:val="Para3"/>
        <w:numPr>
          <w:ilvl w:val="2"/>
          <w:numId w:val="10"/>
        </w:numPr>
        <w:tabs>
          <w:tab w:val="clear" w:pos="1440"/>
          <w:tab w:val="num" w:pos="709"/>
        </w:tabs>
        <w:rPr>
          <w:i w:val="0"/>
          <w:sz w:val="20"/>
          <w:szCs w:val="20"/>
        </w:rPr>
      </w:pPr>
      <w:r w:rsidRPr="007D5AF3">
        <w:rPr>
          <w:i w:val="0"/>
          <w:sz w:val="20"/>
          <w:szCs w:val="20"/>
        </w:rPr>
        <w:t>The study has been structured in three distinct stages.</w:t>
      </w:r>
    </w:p>
    <w:p w:rsidR="007A378A" w:rsidRPr="007D5AF3" w:rsidRDefault="007A378A" w:rsidP="0038760B">
      <w:pPr>
        <w:pStyle w:val="StylePara311ptNotItalic"/>
        <w:numPr>
          <w:ilvl w:val="0"/>
          <w:numId w:val="15"/>
        </w:numPr>
        <w:ind w:left="1040"/>
      </w:pPr>
      <w:r w:rsidRPr="007D5AF3">
        <w:t xml:space="preserve">The first stage </w:t>
      </w:r>
      <w:r>
        <w:t>was</w:t>
      </w:r>
      <w:r w:rsidRPr="007D5AF3">
        <w:t xml:space="preserve"> the establishment of a </w:t>
      </w:r>
      <w:r>
        <w:t xml:space="preserve">model to </w:t>
      </w:r>
      <w:r w:rsidRPr="007D5AF3">
        <w:t xml:space="preserve">forecast </w:t>
      </w:r>
      <w:r>
        <w:t xml:space="preserve">traffic </w:t>
      </w:r>
      <w:r w:rsidRPr="007D5AF3">
        <w:t xml:space="preserve">demand for a new crossing and </w:t>
      </w:r>
      <w:r>
        <w:t xml:space="preserve">hence suggest capacity requirements and estimate </w:t>
      </w:r>
      <w:r w:rsidRPr="007D5AF3">
        <w:t>the economic benefits tha</w:t>
      </w:r>
      <w:r>
        <w:t>t a new crossing would provide.</w:t>
      </w:r>
    </w:p>
    <w:p w:rsidR="007A378A" w:rsidRPr="007D5AF3" w:rsidRDefault="007A378A" w:rsidP="0038760B">
      <w:pPr>
        <w:pStyle w:val="StylePara311ptNotItalic"/>
        <w:numPr>
          <w:ilvl w:val="0"/>
          <w:numId w:val="15"/>
        </w:numPr>
        <w:ind w:left="1040"/>
      </w:pPr>
      <w:r w:rsidRPr="007D5AF3">
        <w:t>The second stage involve</w:t>
      </w:r>
      <w:r>
        <w:t>d</w:t>
      </w:r>
      <w:r w:rsidRPr="007D5AF3">
        <w:t xml:space="preserve"> the </w:t>
      </w:r>
      <w:r>
        <w:t>consideration of engineering feasibility and the establishment of capital cost estimates</w:t>
      </w:r>
      <w:r w:rsidRPr="007D5AF3">
        <w:t xml:space="preserve"> </w:t>
      </w:r>
      <w:r>
        <w:t xml:space="preserve">both </w:t>
      </w:r>
      <w:r w:rsidRPr="007D5AF3">
        <w:t xml:space="preserve">for a new crossing and </w:t>
      </w:r>
      <w:r>
        <w:t xml:space="preserve">for infrastructure to </w:t>
      </w:r>
      <w:r w:rsidRPr="007D5AF3">
        <w:t xml:space="preserve">link this with the existing road network. </w:t>
      </w:r>
    </w:p>
    <w:p w:rsidR="007A378A" w:rsidRPr="007D5AF3" w:rsidRDefault="007A378A" w:rsidP="0038760B">
      <w:pPr>
        <w:pStyle w:val="StylePara311ptNotItalic"/>
        <w:numPr>
          <w:ilvl w:val="0"/>
          <w:numId w:val="15"/>
        </w:numPr>
        <w:ind w:left="1040"/>
      </w:pPr>
      <w:r w:rsidRPr="007D5AF3">
        <w:t>The third stage comprises the interpretation of the evidence to assess the performance and impacts of the alternative crossings. This involves:</w:t>
      </w:r>
    </w:p>
    <w:p w:rsidR="007A378A" w:rsidRDefault="007A378A" w:rsidP="0038760B">
      <w:pPr>
        <w:pStyle w:val="StylePara311ptNotItalic"/>
        <w:numPr>
          <w:ilvl w:val="0"/>
          <w:numId w:val="17"/>
        </w:numPr>
        <w:ind w:left="1701" w:hanging="425"/>
      </w:pPr>
      <w:r>
        <w:t>consideration of maintenance and operating costs for a new crossing, the subject of this report;</w:t>
      </w:r>
    </w:p>
    <w:p w:rsidR="007A378A" w:rsidRPr="007D5AF3" w:rsidRDefault="007A378A" w:rsidP="0038760B">
      <w:pPr>
        <w:pStyle w:val="StylePara311ptNotItalic"/>
        <w:numPr>
          <w:ilvl w:val="0"/>
          <w:numId w:val="17"/>
        </w:numPr>
        <w:ind w:left="1701" w:hanging="425"/>
      </w:pPr>
      <w:r w:rsidRPr="007D5AF3">
        <w:t>application of the traffic forecasting tool to estimate demand for the crossing options;</w:t>
      </w:r>
    </w:p>
    <w:p w:rsidR="007A378A" w:rsidRPr="007D5AF3" w:rsidRDefault="007A378A" w:rsidP="0038760B">
      <w:pPr>
        <w:pStyle w:val="StylePara311ptNotItalic"/>
        <w:numPr>
          <w:ilvl w:val="0"/>
          <w:numId w:val="17"/>
        </w:numPr>
        <w:ind w:left="1701" w:hanging="425"/>
      </w:pPr>
      <w:r w:rsidRPr="007D5AF3">
        <w:t>interpretation o</w:t>
      </w:r>
      <w:r>
        <w:t xml:space="preserve">f the evidence using the DfT’s five </w:t>
      </w:r>
      <w:r w:rsidRPr="007D5AF3">
        <w:t xml:space="preserve">case business model to </w:t>
      </w:r>
      <w:r>
        <w:t>describe</w:t>
      </w:r>
      <w:r w:rsidRPr="007D5AF3">
        <w:t xml:space="preserve"> the performance </w:t>
      </w:r>
      <w:r>
        <w:t xml:space="preserve">separately for </w:t>
      </w:r>
      <w:r w:rsidRPr="007D5AF3">
        <w:t>each of the options</w:t>
      </w:r>
      <w:r w:rsidR="00572269">
        <w:t>; and</w:t>
      </w:r>
    </w:p>
    <w:p w:rsidR="007A378A" w:rsidRDefault="007A378A" w:rsidP="0038760B">
      <w:pPr>
        <w:pStyle w:val="StylePara311ptNotItalic"/>
        <w:numPr>
          <w:ilvl w:val="0"/>
          <w:numId w:val="17"/>
        </w:numPr>
        <w:ind w:left="1701" w:hanging="425"/>
      </w:pPr>
      <w:proofErr w:type="gramStart"/>
      <w:r>
        <w:t>t</w:t>
      </w:r>
      <w:r w:rsidRPr="007D5AF3">
        <w:t>he</w:t>
      </w:r>
      <w:proofErr w:type="gramEnd"/>
      <w:r w:rsidRPr="007D5AF3">
        <w:t xml:space="preserve"> study report will summarise the findings.</w:t>
      </w:r>
    </w:p>
    <w:p w:rsidR="00302E0C" w:rsidRDefault="00302E0C">
      <w:pPr>
        <w:pStyle w:val="StylePara311ptNotItalic"/>
        <w:tabs>
          <w:tab w:val="clear" w:pos="1440"/>
        </w:tabs>
        <w:ind w:left="1701" w:firstLine="0"/>
      </w:pPr>
    </w:p>
    <w:p w:rsidR="007A378A" w:rsidRDefault="007A378A" w:rsidP="0038760B">
      <w:pPr>
        <w:pStyle w:val="Hdg2"/>
        <w:numPr>
          <w:ilvl w:val="1"/>
          <w:numId w:val="10"/>
        </w:numPr>
        <w:spacing w:after="120"/>
        <w:rPr>
          <w:sz w:val="20"/>
          <w:szCs w:val="20"/>
        </w:rPr>
      </w:pPr>
      <w:bookmarkStart w:id="24" w:name="_Toc332643888"/>
      <w:bookmarkStart w:id="25" w:name="_Toc332644060"/>
      <w:bookmarkStart w:id="26" w:name="_Toc332996290"/>
      <w:bookmarkStart w:id="27" w:name="_Toc341694611"/>
      <w:r>
        <w:rPr>
          <w:sz w:val="20"/>
          <w:szCs w:val="20"/>
        </w:rPr>
        <w:t xml:space="preserve">Report </w:t>
      </w:r>
      <w:bookmarkEnd w:id="24"/>
      <w:bookmarkEnd w:id="25"/>
      <w:bookmarkEnd w:id="26"/>
      <w:r>
        <w:rPr>
          <w:sz w:val="20"/>
          <w:szCs w:val="20"/>
        </w:rPr>
        <w:t>Purpose</w:t>
      </w:r>
      <w:bookmarkEnd w:id="27"/>
    </w:p>
    <w:p w:rsidR="00302E0C" w:rsidRDefault="007A378A">
      <w:pPr>
        <w:pStyle w:val="Para3"/>
        <w:numPr>
          <w:ilvl w:val="2"/>
          <w:numId w:val="10"/>
        </w:numPr>
        <w:tabs>
          <w:tab w:val="clear" w:pos="1440"/>
          <w:tab w:val="num" w:pos="709"/>
        </w:tabs>
        <w:rPr>
          <w:i w:val="0"/>
          <w:sz w:val="20"/>
          <w:szCs w:val="20"/>
        </w:rPr>
      </w:pPr>
      <w:r w:rsidRPr="007D5AF3">
        <w:rPr>
          <w:i w:val="0"/>
          <w:sz w:val="20"/>
          <w:szCs w:val="20"/>
        </w:rPr>
        <w:t xml:space="preserve">This document </w:t>
      </w:r>
      <w:r>
        <w:rPr>
          <w:i w:val="0"/>
          <w:sz w:val="20"/>
          <w:szCs w:val="20"/>
        </w:rPr>
        <w:t>sets out</w:t>
      </w:r>
      <w:r w:rsidRPr="007D5AF3">
        <w:rPr>
          <w:i w:val="0"/>
          <w:sz w:val="20"/>
          <w:szCs w:val="20"/>
        </w:rPr>
        <w:t xml:space="preserve"> the</w:t>
      </w:r>
      <w:r>
        <w:rPr>
          <w:i w:val="0"/>
          <w:sz w:val="20"/>
          <w:szCs w:val="20"/>
        </w:rPr>
        <w:t xml:space="preserve"> assumptions used to estimate operating and maintenance </w:t>
      </w:r>
      <w:r w:rsidRPr="007D5AF3">
        <w:rPr>
          <w:i w:val="0"/>
          <w:sz w:val="20"/>
          <w:szCs w:val="20"/>
        </w:rPr>
        <w:t>cost</w:t>
      </w:r>
      <w:r>
        <w:rPr>
          <w:i w:val="0"/>
          <w:sz w:val="20"/>
          <w:szCs w:val="20"/>
        </w:rPr>
        <w:t>s, the costs of revenue collection and revenues for an additional lower Thames Crossing separately for the three O</w:t>
      </w:r>
      <w:r w:rsidRPr="007D5AF3">
        <w:rPr>
          <w:i w:val="0"/>
          <w:sz w:val="20"/>
          <w:szCs w:val="20"/>
        </w:rPr>
        <w:t>ptions A, B and C (together with the Option C Vari</w:t>
      </w:r>
      <w:r>
        <w:rPr>
          <w:i w:val="0"/>
          <w:sz w:val="20"/>
          <w:szCs w:val="20"/>
        </w:rPr>
        <w:t xml:space="preserve">ant). </w:t>
      </w:r>
    </w:p>
    <w:p w:rsidR="00302E0C" w:rsidRDefault="007A378A">
      <w:pPr>
        <w:pStyle w:val="Para3"/>
        <w:numPr>
          <w:ilvl w:val="2"/>
          <w:numId w:val="10"/>
        </w:numPr>
        <w:tabs>
          <w:tab w:val="clear" w:pos="1440"/>
          <w:tab w:val="num" w:pos="709"/>
        </w:tabs>
        <w:rPr>
          <w:i w:val="0"/>
          <w:sz w:val="20"/>
          <w:szCs w:val="20"/>
        </w:rPr>
      </w:pPr>
      <w:r>
        <w:rPr>
          <w:i w:val="0"/>
          <w:sz w:val="20"/>
          <w:szCs w:val="20"/>
        </w:rPr>
        <w:t>This complements the estimates of capital costs prepared in the second stage of the study to document assumptions used in developing the financial and commercial cases for a new crossing.</w:t>
      </w:r>
    </w:p>
    <w:p w:rsidR="00302E0C" w:rsidRDefault="00302E0C">
      <w:pPr>
        <w:pStyle w:val="Para3"/>
        <w:numPr>
          <w:ilvl w:val="0"/>
          <w:numId w:val="0"/>
        </w:numPr>
        <w:ind w:left="680"/>
        <w:rPr>
          <w:i w:val="0"/>
          <w:sz w:val="20"/>
          <w:szCs w:val="20"/>
        </w:rPr>
      </w:pPr>
    </w:p>
    <w:p w:rsidR="007A378A" w:rsidRPr="007D5AF3" w:rsidRDefault="007A378A" w:rsidP="003E7B69">
      <w:pPr>
        <w:pStyle w:val="Hdg2"/>
        <w:numPr>
          <w:ilvl w:val="1"/>
          <w:numId w:val="10"/>
        </w:numPr>
        <w:spacing w:after="120"/>
        <w:rPr>
          <w:sz w:val="20"/>
          <w:szCs w:val="20"/>
        </w:rPr>
      </w:pPr>
      <w:bookmarkStart w:id="28" w:name="_Toc332643890"/>
      <w:bookmarkStart w:id="29" w:name="_Toc332644062"/>
      <w:bookmarkStart w:id="30" w:name="_Toc341694612"/>
      <w:r>
        <w:rPr>
          <w:sz w:val="20"/>
          <w:szCs w:val="20"/>
        </w:rPr>
        <w:t xml:space="preserve">Overall Approach and </w:t>
      </w:r>
      <w:r w:rsidRPr="007D5AF3">
        <w:rPr>
          <w:sz w:val="20"/>
          <w:szCs w:val="20"/>
        </w:rPr>
        <w:t>Report Structure</w:t>
      </w:r>
      <w:bookmarkEnd w:id="28"/>
      <w:bookmarkEnd w:id="29"/>
      <w:bookmarkEnd w:id="30"/>
    </w:p>
    <w:p w:rsidR="00302E0C" w:rsidRDefault="007A378A">
      <w:pPr>
        <w:pStyle w:val="Para3"/>
        <w:numPr>
          <w:ilvl w:val="2"/>
          <w:numId w:val="10"/>
        </w:numPr>
        <w:tabs>
          <w:tab w:val="clear" w:pos="1440"/>
          <w:tab w:val="num" w:pos="709"/>
        </w:tabs>
        <w:rPr>
          <w:i w:val="0"/>
          <w:sz w:val="20"/>
          <w:szCs w:val="20"/>
        </w:rPr>
      </w:pPr>
      <w:r>
        <w:rPr>
          <w:i w:val="0"/>
          <w:sz w:val="20"/>
          <w:szCs w:val="20"/>
        </w:rPr>
        <w:t xml:space="preserve">The operating and maintenance costs will depend on detailed design decisions that will be made in the course of delivering a particular option. Our approach, therefore, has been to use benchmark evidence on the overall costs from existing infrastructure. </w:t>
      </w:r>
    </w:p>
    <w:p w:rsidR="00302E0C" w:rsidRDefault="00BC2ACE">
      <w:pPr>
        <w:pStyle w:val="Para3"/>
        <w:numPr>
          <w:ilvl w:val="2"/>
          <w:numId w:val="10"/>
        </w:numPr>
        <w:tabs>
          <w:tab w:val="clear" w:pos="1440"/>
          <w:tab w:val="num" w:pos="709"/>
        </w:tabs>
        <w:rPr>
          <w:i w:val="0"/>
          <w:sz w:val="20"/>
          <w:szCs w:val="20"/>
        </w:rPr>
      </w:pPr>
      <w:r>
        <w:rPr>
          <w:i w:val="0"/>
          <w:sz w:val="20"/>
          <w:szCs w:val="20"/>
        </w:rPr>
        <w:t xml:space="preserve">The inflation assumptions used to calculate costs are commercial inflation rates for all construction and renewal costs, and CPI elsewhere. </w:t>
      </w:r>
    </w:p>
    <w:p w:rsidR="00302E0C" w:rsidRDefault="007A378A">
      <w:pPr>
        <w:pStyle w:val="Para3"/>
        <w:numPr>
          <w:ilvl w:val="2"/>
          <w:numId w:val="10"/>
        </w:numPr>
        <w:tabs>
          <w:tab w:val="clear" w:pos="1440"/>
          <w:tab w:val="num" w:pos="709"/>
        </w:tabs>
        <w:rPr>
          <w:i w:val="0"/>
          <w:sz w:val="20"/>
          <w:szCs w:val="20"/>
        </w:rPr>
      </w:pPr>
      <w:r>
        <w:rPr>
          <w:i w:val="0"/>
          <w:sz w:val="20"/>
          <w:szCs w:val="20"/>
        </w:rPr>
        <w:t xml:space="preserve">Reflecting the nature of the costs, we have </w:t>
      </w:r>
      <w:r w:rsidRPr="00DD0F8F">
        <w:rPr>
          <w:i w:val="0"/>
          <w:sz w:val="20"/>
          <w:szCs w:val="20"/>
        </w:rPr>
        <w:t>considered routine operational and maintenance costs separately from the costs associated with revenue collection. Accordingly, this report is structured as follows:</w:t>
      </w:r>
    </w:p>
    <w:p w:rsidR="007A378A" w:rsidRPr="00BC2ACE" w:rsidRDefault="007A378A" w:rsidP="00831D6E">
      <w:pPr>
        <w:pStyle w:val="StylePara311ptNotItalic"/>
        <w:numPr>
          <w:ilvl w:val="0"/>
          <w:numId w:val="15"/>
        </w:numPr>
        <w:ind w:left="1040"/>
      </w:pPr>
      <w:r w:rsidRPr="00BC2ACE">
        <w:t>Chapter 2 explains the derivation and presents the cost estimates associated with operating and maintaining the infrastructure required for each of the options.</w:t>
      </w:r>
    </w:p>
    <w:p w:rsidR="007A378A" w:rsidRPr="00BC2ACE" w:rsidRDefault="007A378A" w:rsidP="00831D6E">
      <w:pPr>
        <w:pStyle w:val="StylePara311ptNotItalic"/>
        <w:numPr>
          <w:ilvl w:val="0"/>
          <w:numId w:val="15"/>
        </w:numPr>
        <w:ind w:left="1040"/>
      </w:pPr>
      <w:r w:rsidRPr="00BC2ACE">
        <w:t xml:space="preserve">Chapter 3 explains the basis of </w:t>
      </w:r>
      <w:r w:rsidR="00572269" w:rsidRPr="00BC2ACE">
        <w:t>estimating the</w:t>
      </w:r>
      <w:r w:rsidRPr="00BC2ACE">
        <w:t xml:space="preserve"> costs of collecting revenues using a free flow tolling system.</w:t>
      </w:r>
    </w:p>
    <w:p w:rsidR="00302E0C" w:rsidRDefault="007A378A" w:rsidP="00831D6E">
      <w:pPr>
        <w:pStyle w:val="StylePara311ptNotItalic"/>
        <w:numPr>
          <w:ilvl w:val="0"/>
          <w:numId w:val="15"/>
        </w:numPr>
        <w:ind w:left="1040"/>
      </w:pPr>
      <w:r w:rsidRPr="00BC2ACE">
        <w:lastRenderedPageBreak/>
        <w:t xml:space="preserve">Chapter 4 </w:t>
      </w:r>
      <w:r w:rsidR="00302E0C">
        <w:t>briefly sets out the breakdown for routine and renewal maintenance costs for the s</w:t>
      </w:r>
      <w:r w:rsidR="00302E0C" w:rsidRPr="00C56982">
        <w:t>tructure</w:t>
      </w:r>
      <w:r w:rsidR="00302E0C">
        <w:t xml:space="preserve"> and associated link roads, and </w:t>
      </w:r>
    </w:p>
    <w:p w:rsidR="007A378A" w:rsidRPr="00BC2ACE" w:rsidRDefault="00302E0C" w:rsidP="00831D6E">
      <w:pPr>
        <w:pStyle w:val="StylePara311ptNotItalic"/>
        <w:numPr>
          <w:ilvl w:val="0"/>
          <w:numId w:val="15"/>
        </w:numPr>
        <w:ind w:left="1040"/>
      </w:pPr>
      <w:r>
        <w:t xml:space="preserve">Chapter 5 </w:t>
      </w:r>
      <w:r w:rsidR="007A378A" w:rsidRPr="00BC2ACE">
        <w:t>explains the basis of estimating toll revenues.</w:t>
      </w:r>
    </w:p>
    <w:p w:rsidR="007A378A" w:rsidRDefault="007A378A" w:rsidP="003E7B69">
      <w:pPr>
        <w:pStyle w:val="Para3"/>
        <w:numPr>
          <w:ilvl w:val="0"/>
          <w:numId w:val="0"/>
        </w:numPr>
        <w:spacing w:before="120" w:line="360" w:lineRule="auto"/>
        <w:ind w:left="567"/>
        <w:jc w:val="both"/>
      </w:pPr>
    </w:p>
    <w:p w:rsidR="007A378A" w:rsidRPr="001279C6" w:rsidRDefault="007A378A" w:rsidP="00014571">
      <w:pPr>
        <w:pStyle w:val="Para3"/>
        <w:numPr>
          <w:ilvl w:val="0"/>
          <w:numId w:val="13"/>
        </w:numPr>
        <w:spacing w:before="120" w:line="360" w:lineRule="auto"/>
        <w:ind w:left="567" w:hanging="567"/>
        <w:jc w:val="both"/>
        <w:sectPr w:rsidR="007A378A" w:rsidRPr="001279C6" w:rsidSect="00651C86">
          <w:headerReference w:type="default" r:id="rId20"/>
          <w:pgSz w:w="11907" w:h="16840" w:code="9"/>
          <w:pgMar w:top="-1985" w:right="709" w:bottom="1729" w:left="907" w:header="357" w:footer="567" w:gutter="0"/>
          <w:pgNumType w:start="1"/>
          <w:cols w:space="187"/>
          <w:docGrid w:linePitch="360"/>
        </w:sectPr>
      </w:pPr>
    </w:p>
    <w:p w:rsidR="007A378A" w:rsidRPr="001279C6" w:rsidRDefault="007A378A" w:rsidP="001C2CD6">
      <w:pPr>
        <w:pStyle w:val="SecDivider"/>
      </w:pPr>
      <w:r>
        <w:lastRenderedPageBreak/>
        <w:t>Operational and Maintenance Costs</w:t>
      </w:r>
    </w:p>
    <w:p w:rsidR="007A378A" w:rsidRPr="001279C6" w:rsidRDefault="007A378A" w:rsidP="00F96876">
      <w:pPr>
        <w:pStyle w:val="SecDividerBody"/>
        <w:rPr>
          <w:sz w:val="20"/>
          <w:szCs w:val="20"/>
        </w:rPr>
      </w:pPr>
    </w:p>
    <w:p w:rsidR="007A378A" w:rsidRPr="001279C6" w:rsidRDefault="007A378A" w:rsidP="00F96876">
      <w:pPr>
        <w:pStyle w:val="Body"/>
        <w:rPr>
          <w:sz w:val="20"/>
          <w:szCs w:val="20"/>
        </w:rPr>
      </w:pPr>
    </w:p>
    <w:p w:rsidR="007A378A" w:rsidRPr="001279C6" w:rsidRDefault="007A378A" w:rsidP="00F96876">
      <w:pPr>
        <w:pStyle w:val="Body"/>
        <w:rPr>
          <w:sz w:val="20"/>
          <w:szCs w:val="20"/>
        </w:rPr>
        <w:sectPr w:rsidR="007A378A" w:rsidRPr="001279C6" w:rsidSect="007323AF">
          <w:headerReference w:type="default" r:id="rId21"/>
          <w:footerReference w:type="default" r:id="rId22"/>
          <w:pgSz w:w="11907" w:h="16840" w:code="9"/>
          <w:pgMar w:top="-3640" w:right="709" w:bottom="1729" w:left="6146" w:header="357" w:footer="567" w:gutter="0"/>
          <w:cols w:space="720"/>
          <w:docGrid w:linePitch="360"/>
        </w:sectPr>
      </w:pPr>
    </w:p>
    <w:p w:rsidR="007A378A" w:rsidRPr="001279C6" w:rsidRDefault="007A378A" w:rsidP="001C2CD6">
      <w:pPr>
        <w:pStyle w:val="Hdg1"/>
        <w:framePr w:w="9395" w:wrap="notBeside"/>
        <w:numPr>
          <w:ilvl w:val="0"/>
          <w:numId w:val="10"/>
        </w:numPr>
      </w:pPr>
      <w:bookmarkStart w:id="31" w:name="_Toc330564355"/>
      <w:bookmarkStart w:id="32" w:name="_Toc332643891"/>
      <w:bookmarkStart w:id="33" w:name="_Toc332644043"/>
      <w:bookmarkStart w:id="34" w:name="_Toc332644063"/>
      <w:bookmarkStart w:id="35" w:name="_Toc332644140"/>
      <w:bookmarkStart w:id="36" w:name="_Toc341694613"/>
      <w:r>
        <w:lastRenderedPageBreak/>
        <w:t>Operational and Maintenance Cost</w:t>
      </w:r>
      <w:bookmarkEnd w:id="31"/>
      <w:bookmarkEnd w:id="32"/>
      <w:bookmarkEnd w:id="33"/>
      <w:bookmarkEnd w:id="34"/>
      <w:bookmarkEnd w:id="35"/>
      <w:r>
        <w:t>s</w:t>
      </w:r>
      <w:bookmarkEnd w:id="36"/>
    </w:p>
    <w:p w:rsidR="007A378A" w:rsidRDefault="007A378A" w:rsidP="003E7B69">
      <w:pPr>
        <w:pStyle w:val="Hdg2"/>
        <w:numPr>
          <w:ilvl w:val="1"/>
          <w:numId w:val="10"/>
        </w:numPr>
        <w:spacing w:after="120"/>
        <w:rPr>
          <w:sz w:val="20"/>
          <w:szCs w:val="20"/>
        </w:rPr>
      </w:pPr>
      <w:bookmarkStart w:id="37" w:name="_Toc332643892"/>
      <w:bookmarkStart w:id="38" w:name="_Toc332644064"/>
      <w:bookmarkStart w:id="39" w:name="_Toc341694614"/>
      <w:r>
        <w:rPr>
          <w:sz w:val="20"/>
          <w:szCs w:val="20"/>
        </w:rPr>
        <w:t>Introduction</w:t>
      </w:r>
      <w:bookmarkEnd w:id="37"/>
      <w:bookmarkEnd w:id="38"/>
      <w:bookmarkEnd w:id="39"/>
    </w:p>
    <w:p w:rsidR="00302E0C" w:rsidRDefault="007A378A">
      <w:pPr>
        <w:pStyle w:val="Para3"/>
        <w:numPr>
          <w:ilvl w:val="2"/>
          <w:numId w:val="10"/>
        </w:numPr>
        <w:tabs>
          <w:tab w:val="clear" w:pos="1440"/>
          <w:tab w:val="num" w:pos="709"/>
        </w:tabs>
        <w:rPr>
          <w:i w:val="0"/>
          <w:sz w:val="20"/>
          <w:szCs w:val="20"/>
        </w:rPr>
      </w:pPr>
      <w:r w:rsidRPr="003E7B69">
        <w:rPr>
          <w:i w:val="0"/>
          <w:sz w:val="20"/>
          <w:szCs w:val="20"/>
        </w:rPr>
        <w:t xml:space="preserve">This chapter </w:t>
      </w:r>
      <w:r>
        <w:rPr>
          <w:i w:val="0"/>
          <w:sz w:val="20"/>
          <w:szCs w:val="20"/>
        </w:rPr>
        <w:t>explains our estimation of operational and maintenance (O&amp;M) costs. Estimates have been prepared  for the route options developed in the Design and Costing Report and for the types of main crossing structure:</w:t>
      </w:r>
    </w:p>
    <w:p w:rsidR="007A378A" w:rsidRDefault="002C3D96" w:rsidP="00345A85">
      <w:pPr>
        <w:pStyle w:val="Para3"/>
        <w:numPr>
          <w:ilvl w:val="0"/>
          <w:numId w:val="13"/>
        </w:numPr>
        <w:rPr>
          <w:i w:val="0"/>
          <w:sz w:val="20"/>
          <w:szCs w:val="20"/>
        </w:rPr>
      </w:pPr>
      <w:r>
        <w:rPr>
          <w:i w:val="0"/>
          <w:sz w:val="20"/>
          <w:szCs w:val="20"/>
        </w:rPr>
        <w:t>c</w:t>
      </w:r>
      <w:r w:rsidR="007A378A">
        <w:rPr>
          <w:i w:val="0"/>
          <w:sz w:val="20"/>
          <w:szCs w:val="20"/>
        </w:rPr>
        <w:t>able stayed bridge;</w:t>
      </w:r>
    </w:p>
    <w:p w:rsidR="007A378A" w:rsidRDefault="002C3D96" w:rsidP="00345A85">
      <w:pPr>
        <w:pStyle w:val="Para3"/>
        <w:numPr>
          <w:ilvl w:val="0"/>
          <w:numId w:val="13"/>
        </w:numPr>
        <w:rPr>
          <w:i w:val="0"/>
          <w:sz w:val="20"/>
          <w:szCs w:val="20"/>
        </w:rPr>
      </w:pPr>
      <w:r>
        <w:rPr>
          <w:i w:val="0"/>
          <w:sz w:val="20"/>
          <w:szCs w:val="20"/>
        </w:rPr>
        <w:t>i</w:t>
      </w:r>
      <w:r w:rsidR="007A378A">
        <w:rPr>
          <w:i w:val="0"/>
          <w:sz w:val="20"/>
          <w:szCs w:val="20"/>
        </w:rPr>
        <w:t>mmersed tube tunnel; and</w:t>
      </w:r>
    </w:p>
    <w:p w:rsidR="007A378A" w:rsidRDefault="002C3D96" w:rsidP="00345A85">
      <w:pPr>
        <w:pStyle w:val="Para3"/>
        <w:numPr>
          <w:ilvl w:val="0"/>
          <w:numId w:val="13"/>
        </w:numPr>
        <w:rPr>
          <w:i w:val="0"/>
          <w:sz w:val="20"/>
          <w:szCs w:val="20"/>
        </w:rPr>
      </w:pPr>
      <w:proofErr w:type="gramStart"/>
      <w:r>
        <w:rPr>
          <w:i w:val="0"/>
          <w:sz w:val="20"/>
          <w:szCs w:val="20"/>
        </w:rPr>
        <w:t>b</w:t>
      </w:r>
      <w:r w:rsidR="007A378A">
        <w:rPr>
          <w:i w:val="0"/>
          <w:sz w:val="20"/>
          <w:szCs w:val="20"/>
        </w:rPr>
        <w:t>ored</w:t>
      </w:r>
      <w:proofErr w:type="gramEnd"/>
      <w:r w:rsidR="007A378A">
        <w:rPr>
          <w:i w:val="0"/>
          <w:sz w:val="20"/>
          <w:szCs w:val="20"/>
        </w:rPr>
        <w:t xml:space="preserve"> tunnel.</w:t>
      </w:r>
    </w:p>
    <w:p w:rsidR="00302E0C" w:rsidRDefault="007A378A">
      <w:pPr>
        <w:pStyle w:val="Para3"/>
        <w:numPr>
          <w:ilvl w:val="2"/>
          <w:numId w:val="10"/>
        </w:numPr>
        <w:tabs>
          <w:tab w:val="clear" w:pos="1440"/>
          <w:tab w:val="num" w:pos="709"/>
        </w:tabs>
        <w:rPr>
          <w:i w:val="0"/>
          <w:sz w:val="20"/>
          <w:szCs w:val="20"/>
        </w:rPr>
      </w:pPr>
      <w:r w:rsidRPr="002C3D96">
        <w:rPr>
          <w:i w:val="0"/>
          <w:sz w:val="20"/>
          <w:szCs w:val="20"/>
        </w:rPr>
        <w:t>The Options include provision of both a new structure crossing the River Thames, together with new junctions and links connecting the structure to the existing road network. Upon opening this road infrastructure for public use costs will be incurred to enable the road to operate safely and to ensure it is kept in a serviceable condition.  The following sections separately discuss costs associated with:</w:t>
      </w:r>
    </w:p>
    <w:p w:rsidR="00302E0C" w:rsidRDefault="007A378A">
      <w:pPr>
        <w:pStyle w:val="Para3"/>
        <w:numPr>
          <w:ilvl w:val="0"/>
          <w:numId w:val="13"/>
        </w:numPr>
        <w:rPr>
          <w:i w:val="0"/>
          <w:sz w:val="20"/>
          <w:szCs w:val="20"/>
        </w:rPr>
      </w:pPr>
      <w:r w:rsidRPr="002C3D96">
        <w:rPr>
          <w:i w:val="0"/>
          <w:sz w:val="20"/>
          <w:szCs w:val="20"/>
        </w:rPr>
        <w:t>operational and regular maintenance costs, and</w:t>
      </w:r>
    </w:p>
    <w:p w:rsidR="00302E0C" w:rsidRDefault="007A378A">
      <w:pPr>
        <w:pStyle w:val="Para3"/>
        <w:numPr>
          <w:ilvl w:val="0"/>
          <w:numId w:val="13"/>
        </w:numPr>
        <w:rPr>
          <w:i w:val="0"/>
          <w:sz w:val="20"/>
          <w:szCs w:val="20"/>
        </w:rPr>
      </w:pPr>
      <w:proofErr w:type="gramStart"/>
      <w:r w:rsidRPr="002C3D96">
        <w:rPr>
          <w:i w:val="0"/>
          <w:sz w:val="20"/>
          <w:szCs w:val="20"/>
        </w:rPr>
        <w:t>renewing</w:t>
      </w:r>
      <w:proofErr w:type="gramEnd"/>
      <w:r w:rsidRPr="002C3D96">
        <w:rPr>
          <w:i w:val="0"/>
          <w:sz w:val="20"/>
          <w:szCs w:val="20"/>
        </w:rPr>
        <w:t xml:space="preserve"> elements of the road infrastructure, i.e. longer term maintenance.</w:t>
      </w:r>
    </w:p>
    <w:p w:rsidR="007A378A" w:rsidRDefault="007A378A" w:rsidP="005D4F7F">
      <w:pPr>
        <w:pStyle w:val="Para3"/>
        <w:numPr>
          <w:ilvl w:val="0"/>
          <w:numId w:val="0"/>
        </w:numPr>
        <w:ind w:left="680" w:hanging="680"/>
        <w:rPr>
          <w:sz w:val="20"/>
          <w:szCs w:val="20"/>
        </w:rPr>
      </w:pPr>
    </w:p>
    <w:p w:rsidR="007A378A" w:rsidRDefault="007A378A" w:rsidP="003E7B69">
      <w:pPr>
        <w:pStyle w:val="Hdg2"/>
        <w:numPr>
          <w:ilvl w:val="1"/>
          <w:numId w:val="10"/>
        </w:numPr>
        <w:spacing w:after="120"/>
        <w:rPr>
          <w:sz w:val="20"/>
          <w:szCs w:val="20"/>
        </w:rPr>
      </w:pPr>
      <w:bookmarkStart w:id="40" w:name="_Toc341694615"/>
      <w:r>
        <w:rPr>
          <w:sz w:val="20"/>
          <w:szCs w:val="20"/>
        </w:rPr>
        <w:t>Estimating Operational and Regular Maintenance Costs</w:t>
      </w:r>
      <w:bookmarkEnd w:id="40"/>
    </w:p>
    <w:p w:rsidR="00302E0C" w:rsidRDefault="007A378A">
      <w:pPr>
        <w:pStyle w:val="Para3"/>
        <w:numPr>
          <w:ilvl w:val="2"/>
          <w:numId w:val="10"/>
        </w:numPr>
        <w:tabs>
          <w:tab w:val="clear" w:pos="1440"/>
          <w:tab w:val="num" w:pos="709"/>
        </w:tabs>
        <w:rPr>
          <w:i w:val="0"/>
          <w:sz w:val="20"/>
          <w:szCs w:val="20"/>
        </w:rPr>
      </w:pPr>
      <w:r w:rsidRPr="00AB45B4">
        <w:rPr>
          <w:i w:val="0"/>
          <w:sz w:val="20"/>
          <w:szCs w:val="20"/>
        </w:rPr>
        <w:t xml:space="preserve">Those requirements and tasks on road infrastructure to keep it in continuous use are operational requirements.  For a tunnel, examples of operational requirements are the supply of energy, monitoring traffic and use of fire safety, ventilation equipment.  </w:t>
      </w:r>
    </w:p>
    <w:p w:rsidR="00302E0C" w:rsidRDefault="007A378A">
      <w:pPr>
        <w:pStyle w:val="Para3"/>
        <w:numPr>
          <w:ilvl w:val="2"/>
          <w:numId w:val="10"/>
        </w:numPr>
        <w:tabs>
          <w:tab w:val="clear" w:pos="1440"/>
          <w:tab w:val="num" w:pos="709"/>
        </w:tabs>
        <w:rPr>
          <w:i w:val="0"/>
          <w:sz w:val="20"/>
          <w:szCs w:val="20"/>
        </w:rPr>
      </w:pPr>
      <w:r w:rsidRPr="00AB45B4">
        <w:rPr>
          <w:i w:val="0"/>
          <w:sz w:val="20"/>
          <w:szCs w:val="20"/>
        </w:rPr>
        <w:t>Costs attributable to tunnel operations tend to be significantly higher than for</w:t>
      </w:r>
      <w:r>
        <w:rPr>
          <w:i w:val="0"/>
          <w:sz w:val="20"/>
          <w:szCs w:val="20"/>
        </w:rPr>
        <w:t xml:space="preserve"> </w:t>
      </w:r>
      <w:r w:rsidRPr="00AB45B4">
        <w:rPr>
          <w:i w:val="0"/>
          <w:sz w:val="20"/>
          <w:szCs w:val="20"/>
        </w:rPr>
        <w:t xml:space="preserve">bridge crossings as energy requirements are much </w:t>
      </w:r>
      <w:r>
        <w:rPr>
          <w:i w:val="0"/>
          <w:sz w:val="20"/>
          <w:szCs w:val="20"/>
        </w:rPr>
        <w:t>higher</w:t>
      </w:r>
      <w:r w:rsidRPr="00AB45B4">
        <w:rPr>
          <w:i w:val="0"/>
          <w:sz w:val="20"/>
          <w:szCs w:val="20"/>
        </w:rPr>
        <w:t xml:space="preserve"> and the safety requirements are </w:t>
      </w:r>
      <w:r>
        <w:rPr>
          <w:i w:val="0"/>
          <w:sz w:val="20"/>
          <w:szCs w:val="20"/>
        </w:rPr>
        <w:t>more</w:t>
      </w:r>
      <w:r w:rsidRPr="00AB45B4">
        <w:rPr>
          <w:i w:val="0"/>
          <w:sz w:val="20"/>
          <w:szCs w:val="20"/>
        </w:rPr>
        <w:t xml:space="preserve"> onerous.  </w:t>
      </w:r>
      <w:r>
        <w:rPr>
          <w:i w:val="0"/>
          <w:sz w:val="20"/>
          <w:szCs w:val="20"/>
        </w:rPr>
        <w:t xml:space="preserve">The costs of operating the </w:t>
      </w:r>
      <w:r w:rsidRPr="00AB45B4">
        <w:rPr>
          <w:i w:val="0"/>
          <w:sz w:val="20"/>
          <w:szCs w:val="20"/>
        </w:rPr>
        <w:t>main crossing structure</w:t>
      </w:r>
      <w:r>
        <w:rPr>
          <w:i w:val="0"/>
          <w:sz w:val="20"/>
          <w:szCs w:val="20"/>
        </w:rPr>
        <w:t xml:space="preserve"> are greater than those costs for</w:t>
      </w:r>
      <w:r w:rsidRPr="00AB45B4">
        <w:rPr>
          <w:i w:val="0"/>
          <w:sz w:val="20"/>
          <w:szCs w:val="20"/>
        </w:rPr>
        <w:t xml:space="preserve"> the approach roads.  Notable operational tasks </w:t>
      </w:r>
      <w:r>
        <w:rPr>
          <w:i w:val="0"/>
          <w:sz w:val="20"/>
          <w:szCs w:val="20"/>
        </w:rPr>
        <w:t xml:space="preserve">on roads </w:t>
      </w:r>
      <w:r w:rsidRPr="00AB45B4">
        <w:rPr>
          <w:i w:val="0"/>
          <w:sz w:val="20"/>
          <w:szCs w:val="20"/>
        </w:rPr>
        <w:t>are the use of communications equipment, road patrols, winter maintenance (i.e. application of salt and snow clearance), cleaning and inspections of the road infrastructure.  Road lighting energy costs are also attributable to operations.</w:t>
      </w:r>
    </w:p>
    <w:p w:rsidR="00302E0C" w:rsidRDefault="007A378A">
      <w:pPr>
        <w:pStyle w:val="Para3"/>
        <w:numPr>
          <w:ilvl w:val="2"/>
          <w:numId w:val="10"/>
        </w:numPr>
        <w:tabs>
          <w:tab w:val="clear" w:pos="1440"/>
          <w:tab w:val="num" w:pos="709"/>
        </w:tabs>
        <w:rPr>
          <w:i w:val="0"/>
          <w:sz w:val="20"/>
          <w:szCs w:val="20"/>
        </w:rPr>
      </w:pPr>
      <w:r w:rsidRPr="00AB45B4">
        <w:rPr>
          <w:i w:val="0"/>
          <w:sz w:val="20"/>
          <w:szCs w:val="20"/>
        </w:rPr>
        <w:t xml:space="preserve">Regular, or cyclical, maintenance tasks are closely linked with operational costs and they relate to tasks undertaken to maintain the serviceable condition of the road infrastructure on a short term or seasonal basis.   Typically, for a road, regular maintenance can comprise grass cutting, cleaning, repairs to safety fencing road surface minor repairs etc.  </w:t>
      </w:r>
      <w:r>
        <w:rPr>
          <w:i w:val="0"/>
          <w:sz w:val="20"/>
          <w:szCs w:val="20"/>
        </w:rPr>
        <w:t>Higher</w:t>
      </w:r>
      <w:r w:rsidRPr="00AB45B4">
        <w:rPr>
          <w:i w:val="0"/>
          <w:sz w:val="20"/>
          <w:szCs w:val="20"/>
        </w:rPr>
        <w:t xml:space="preserve"> costs for regular maintenance in a tunnel </w:t>
      </w:r>
      <w:r>
        <w:rPr>
          <w:i w:val="0"/>
          <w:sz w:val="20"/>
          <w:szCs w:val="20"/>
        </w:rPr>
        <w:t>relate</w:t>
      </w:r>
      <w:r w:rsidRPr="00AB45B4">
        <w:rPr>
          <w:i w:val="0"/>
          <w:sz w:val="20"/>
          <w:szCs w:val="20"/>
        </w:rPr>
        <w:t xml:space="preserve"> to the requirement to maintain the fire safety systems, ventilation equipment and, where necessary, drainage pumps.  Lesser costs apply to a major bridge than for a tunnel</w:t>
      </w:r>
      <w:r>
        <w:rPr>
          <w:i w:val="0"/>
          <w:sz w:val="20"/>
          <w:szCs w:val="20"/>
        </w:rPr>
        <w:t xml:space="preserve"> because there is</w:t>
      </w:r>
      <w:r w:rsidRPr="00AB45B4">
        <w:rPr>
          <w:i w:val="0"/>
          <w:sz w:val="20"/>
          <w:szCs w:val="20"/>
        </w:rPr>
        <w:t xml:space="preserve"> less equipment to maintain.</w:t>
      </w:r>
    </w:p>
    <w:p w:rsidR="00302E0C" w:rsidRDefault="007A378A">
      <w:pPr>
        <w:pStyle w:val="Para3"/>
        <w:numPr>
          <w:ilvl w:val="2"/>
          <w:numId w:val="10"/>
        </w:numPr>
        <w:tabs>
          <w:tab w:val="clear" w:pos="1440"/>
          <w:tab w:val="num" w:pos="709"/>
        </w:tabs>
        <w:rPr>
          <w:i w:val="0"/>
          <w:sz w:val="20"/>
          <w:szCs w:val="20"/>
        </w:rPr>
      </w:pPr>
      <w:bookmarkStart w:id="41" w:name="_Ref336955129"/>
      <w:r>
        <w:rPr>
          <w:i w:val="0"/>
          <w:sz w:val="20"/>
          <w:szCs w:val="20"/>
        </w:rPr>
        <w:t>C</w:t>
      </w:r>
      <w:r w:rsidRPr="00AB45B4">
        <w:rPr>
          <w:i w:val="0"/>
          <w:sz w:val="20"/>
          <w:szCs w:val="20"/>
        </w:rPr>
        <w:t xml:space="preserve">osts for </w:t>
      </w:r>
      <w:r>
        <w:rPr>
          <w:i w:val="0"/>
          <w:sz w:val="20"/>
          <w:szCs w:val="20"/>
        </w:rPr>
        <w:t xml:space="preserve">operating and maintaining </w:t>
      </w:r>
      <w:r w:rsidRPr="00AB45B4">
        <w:rPr>
          <w:i w:val="0"/>
          <w:sz w:val="20"/>
          <w:szCs w:val="20"/>
        </w:rPr>
        <w:t>the</w:t>
      </w:r>
      <w:r>
        <w:rPr>
          <w:i w:val="0"/>
          <w:sz w:val="20"/>
          <w:szCs w:val="20"/>
        </w:rPr>
        <w:t xml:space="preserve"> existing</w:t>
      </w:r>
      <w:r w:rsidRPr="00AB45B4">
        <w:rPr>
          <w:i w:val="0"/>
          <w:sz w:val="20"/>
          <w:szCs w:val="20"/>
        </w:rPr>
        <w:t xml:space="preserve"> Dartford Crossing were not made available to AECOM for this study by the Highways Agency for commercial reasons</w:t>
      </w:r>
      <w:r w:rsidRPr="00584FA2">
        <w:rPr>
          <w:i w:val="0"/>
          <w:sz w:val="20"/>
          <w:szCs w:val="20"/>
        </w:rPr>
        <w:t xml:space="preserve">.  We used recent costs for a typical recent similar major tidal water crossing study, namely Additional </w:t>
      </w:r>
      <w:proofErr w:type="spellStart"/>
      <w:r w:rsidRPr="00584FA2">
        <w:rPr>
          <w:i w:val="0"/>
          <w:sz w:val="20"/>
          <w:szCs w:val="20"/>
        </w:rPr>
        <w:t>Waitemata</w:t>
      </w:r>
      <w:proofErr w:type="spellEnd"/>
      <w:r w:rsidRPr="00584FA2">
        <w:rPr>
          <w:i w:val="0"/>
          <w:sz w:val="20"/>
          <w:szCs w:val="20"/>
        </w:rPr>
        <w:t xml:space="preserve"> Harbour Crossing in New Zealand, which included bridge and tunnel options and dual two lane </w:t>
      </w:r>
      <w:r w:rsidRPr="00820039">
        <w:rPr>
          <w:i w:val="0"/>
          <w:sz w:val="20"/>
          <w:szCs w:val="20"/>
        </w:rPr>
        <w:t xml:space="preserve">roads. </w:t>
      </w:r>
      <w:r w:rsidR="00734486" w:rsidRPr="00820039">
        <w:rPr>
          <w:i w:val="0"/>
          <w:sz w:val="20"/>
          <w:szCs w:val="20"/>
        </w:rPr>
        <w:t>These costs were adjusted by</w:t>
      </w:r>
      <w:r w:rsidR="002C3D96" w:rsidRPr="00820039">
        <w:rPr>
          <w:i w:val="0"/>
          <w:sz w:val="20"/>
          <w:szCs w:val="20"/>
        </w:rPr>
        <w:t xml:space="preserve"> </w:t>
      </w:r>
      <w:r w:rsidR="008021DA" w:rsidRPr="00820039">
        <w:rPr>
          <w:i w:val="0"/>
          <w:sz w:val="20"/>
          <w:szCs w:val="20"/>
        </w:rPr>
        <w:t>allowing for the difference in the cost of construction between the UK and</w:t>
      </w:r>
      <w:r w:rsidR="008021DA">
        <w:rPr>
          <w:i w:val="0"/>
          <w:sz w:val="20"/>
          <w:szCs w:val="20"/>
        </w:rPr>
        <w:t xml:space="preserve"> New Zealand. </w:t>
      </w:r>
      <w:r w:rsidR="002C3D96">
        <w:rPr>
          <w:i w:val="0"/>
          <w:sz w:val="20"/>
          <w:szCs w:val="20"/>
        </w:rPr>
        <w:t xml:space="preserve"> </w:t>
      </w:r>
      <w:r w:rsidRPr="00584FA2">
        <w:rPr>
          <w:i w:val="0"/>
          <w:sz w:val="20"/>
          <w:szCs w:val="20"/>
        </w:rPr>
        <w:t>This</w:t>
      </w:r>
      <w:r>
        <w:rPr>
          <w:i w:val="0"/>
          <w:sz w:val="20"/>
          <w:szCs w:val="20"/>
        </w:rPr>
        <w:t xml:space="preserve"> evidence was benchmarked against </w:t>
      </w:r>
      <w:r w:rsidRPr="00AB45B4">
        <w:rPr>
          <w:i w:val="0"/>
          <w:sz w:val="20"/>
          <w:szCs w:val="20"/>
        </w:rPr>
        <w:t>other major tunnel and bridge crossing schemes.</w:t>
      </w:r>
      <w:bookmarkEnd w:id="41"/>
      <w:r w:rsidRPr="00AB45B4">
        <w:rPr>
          <w:i w:val="0"/>
          <w:sz w:val="20"/>
          <w:szCs w:val="20"/>
        </w:rPr>
        <w:t xml:space="preserve">  </w:t>
      </w:r>
    </w:p>
    <w:p w:rsidR="00302E0C" w:rsidRDefault="007A378A">
      <w:pPr>
        <w:pStyle w:val="Para3"/>
        <w:numPr>
          <w:ilvl w:val="2"/>
          <w:numId w:val="10"/>
        </w:numPr>
        <w:tabs>
          <w:tab w:val="clear" w:pos="1440"/>
          <w:tab w:val="num" w:pos="709"/>
        </w:tabs>
        <w:rPr>
          <w:i w:val="0"/>
          <w:sz w:val="20"/>
          <w:szCs w:val="20"/>
        </w:rPr>
      </w:pPr>
      <w:r>
        <w:rPr>
          <w:i w:val="0"/>
          <w:sz w:val="20"/>
          <w:szCs w:val="20"/>
        </w:rPr>
        <w:t>The sources within the evidence base include the provision of relatively short link roads comparable with Options A and B. For the longer link roads required for Option C we have drawn on relevant cost data for operating and maintaining the UK trunk road network.</w:t>
      </w:r>
    </w:p>
    <w:p w:rsidR="00302E0C" w:rsidRDefault="007A378A">
      <w:pPr>
        <w:pStyle w:val="Para3"/>
        <w:numPr>
          <w:ilvl w:val="2"/>
          <w:numId w:val="10"/>
        </w:numPr>
        <w:tabs>
          <w:tab w:val="clear" w:pos="1440"/>
          <w:tab w:val="num" w:pos="709"/>
        </w:tabs>
        <w:rPr>
          <w:i w:val="0"/>
          <w:sz w:val="20"/>
          <w:szCs w:val="20"/>
        </w:rPr>
      </w:pPr>
      <w:r>
        <w:rPr>
          <w:i w:val="0"/>
          <w:sz w:val="20"/>
          <w:szCs w:val="20"/>
        </w:rPr>
        <w:t xml:space="preserve">We assumed that the regular maintenance and operating costs are related to the size of the structure / roads. </w:t>
      </w:r>
      <w:r w:rsidRPr="00AB45B4">
        <w:rPr>
          <w:i w:val="0"/>
          <w:sz w:val="20"/>
          <w:szCs w:val="20"/>
        </w:rPr>
        <w:t>Using linear interpolation</w:t>
      </w:r>
      <w:r>
        <w:rPr>
          <w:i w:val="0"/>
          <w:sz w:val="20"/>
          <w:szCs w:val="20"/>
        </w:rPr>
        <w:t xml:space="preserve"> based on the road widths and lengths</w:t>
      </w:r>
      <w:r w:rsidRPr="00AB45B4">
        <w:rPr>
          <w:i w:val="0"/>
          <w:sz w:val="20"/>
          <w:szCs w:val="20"/>
        </w:rPr>
        <w:t xml:space="preserve">, the </w:t>
      </w:r>
      <w:r>
        <w:rPr>
          <w:i w:val="0"/>
          <w:sz w:val="20"/>
          <w:szCs w:val="20"/>
        </w:rPr>
        <w:t>benchmarked</w:t>
      </w:r>
      <w:r w:rsidRPr="00AB45B4">
        <w:rPr>
          <w:i w:val="0"/>
          <w:sz w:val="20"/>
          <w:szCs w:val="20"/>
        </w:rPr>
        <w:t xml:space="preserve"> costs were applied to </w:t>
      </w:r>
      <w:r>
        <w:rPr>
          <w:i w:val="0"/>
          <w:sz w:val="20"/>
          <w:szCs w:val="20"/>
        </w:rPr>
        <w:t xml:space="preserve">estimate costs for </w:t>
      </w:r>
      <w:r w:rsidRPr="00AB45B4">
        <w:rPr>
          <w:i w:val="0"/>
          <w:sz w:val="20"/>
          <w:szCs w:val="20"/>
        </w:rPr>
        <w:t xml:space="preserve">the bridge, immersed tube and bored tunnels for each of Options A, B and C.  </w:t>
      </w:r>
    </w:p>
    <w:p w:rsidR="00302E0C" w:rsidRDefault="007A378A">
      <w:pPr>
        <w:pStyle w:val="Para3"/>
        <w:numPr>
          <w:ilvl w:val="2"/>
          <w:numId w:val="10"/>
        </w:numPr>
        <w:tabs>
          <w:tab w:val="clear" w:pos="1440"/>
          <w:tab w:val="num" w:pos="709"/>
        </w:tabs>
        <w:rPr>
          <w:i w:val="0"/>
          <w:sz w:val="20"/>
          <w:szCs w:val="20"/>
        </w:rPr>
      </w:pPr>
      <w:r w:rsidRPr="00AB45B4">
        <w:rPr>
          <w:i w:val="0"/>
          <w:sz w:val="20"/>
          <w:szCs w:val="20"/>
        </w:rPr>
        <w:lastRenderedPageBreak/>
        <w:t xml:space="preserve">The Option C variant comprises 3.3km long single carriageway tunnel through the North Downs.  </w:t>
      </w:r>
      <w:r>
        <w:rPr>
          <w:i w:val="0"/>
          <w:sz w:val="20"/>
          <w:szCs w:val="20"/>
        </w:rPr>
        <w:t>T</w:t>
      </w:r>
      <w:r w:rsidRPr="00AB45B4">
        <w:rPr>
          <w:i w:val="0"/>
          <w:sz w:val="20"/>
          <w:szCs w:val="20"/>
        </w:rPr>
        <w:t xml:space="preserve">he </w:t>
      </w:r>
      <w:r>
        <w:rPr>
          <w:i w:val="0"/>
          <w:sz w:val="20"/>
          <w:szCs w:val="20"/>
        </w:rPr>
        <w:t>overseas study</w:t>
      </w:r>
      <w:r w:rsidRPr="00AB45B4">
        <w:rPr>
          <w:i w:val="0"/>
          <w:sz w:val="20"/>
          <w:szCs w:val="20"/>
        </w:rPr>
        <w:t xml:space="preserve"> sourced costs were used but adjusted for the single carriageway and its comparative length. It was considered that the higher ventilation costs incurred due to the steeper gradients were countered by the reduced costs of not passing under a major river; i.e. pumped drainage provision etc.</w:t>
      </w:r>
    </w:p>
    <w:p w:rsidR="00302E0C" w:rsidRDefault="007A378A">
      <w:pPr>
        <w:pStyle w:val="Para3"/>
        <w:numPr>
          <w:ilvl w:val="2"/>
          <w:numId w:val="10"/>
        </w:numPr>
        <w:tabs>
          <w:tab w:val="clear" w:pos="1440"/>
          <w:tab w:val="num" w:pos="709"/>
        </w:tabs>
        <w:rPr>
          <w:i w:val="0"/>
          <w:sz w:val="20"/>
          <w:szCs w:val="20"/>
        </w:rPr>
      </w:pPr>
      <w:r>
        <w:rPr>
          <w:i w:val="0"/>
          <w:sz w:val="20"/>
          <w:szCs w:val="20"/>
        </w:rPr>
        <w:t>T</w:t>
      </w:r>
      <w:r w:rsidRPr="00AB45B4">
        <w:rPr>
          <w:i w:val="0"/>
          <w:sz w:val="20"/>
          <w:szCs w:val="20"/>
        </w:rPr>
        <w:t xml:space="preserve">able </w:t>
      </w:r>
      <w:r>
        <w:rPr>
          <w:i w:val="0"/>
          <w:sz w:val="20"/>
          <w:szCs w:val="20"/>
        </w:rPr>
        <w:t xml:space="preserve">1 </w:t>
      </w:r>
      <w:r w:rsidRPr="00AB45B4">
        <w:rPr>
          <w:i w:val="0"/>
          <w:sz w:val="20"/>
          <w:szCs w:val="20"/>
        </w:rPr>
        <w:t xml:space="preserve">below shows the </w:t>
      </w:r>
      <w:r>
        <w:rPr>
          <w:i w:val="0"/>
          <w:sz w:val="20"/>
          <w:szCs w:val="20"/>
        </w:rPr>
        <w:t>estimated annual operating and routine maintenance</w:t>
      </w:r>
      <w:r w:rsidRPr="00AB45B4">
        <w:rPr>
          <w:i w:val="0"/>
          <w:sz w:val="20"/>
          <w:szCs w:val="20"/>
        </w:rPr>
        <w:t xml:space="preserve"> costs.</w:t>
      </w:r>
      <w:r w:rsidR="0033578C">
        <w:rPr>
          <w:i w:val="0"/>
          <w:sz w:val="20"/>
          <w:szCs w:val="20"/>
        </w:rPr>
        <w:t xml:space="preserve">  The costs stated below</w:t>
      </w:r>
      <w:r w:rsidR="0033578C" w:rsidRPr="0033578C">
        <w:rPr>
          <w:i w:val="0"/>
          <w:sz w:val="20"/>
          <w:szCs w:val="20"/>
        </w:rPr>
        <w:t xml:space="preserve"> </w:t>
      </w:r>
      <w:r w:rsidR="0033578C">
        <w:rPr>
          <w:i w:val="0"/>
          <w:sz w:val="20"/>
          <w:szCs w:val="20"/>
        </w:rPr>
        <w:t xml:space="preserve">have been calculated to represent an average cost per annum considering the total 60 year cost. </w:t>
      </w:r>
    </w:p>
    <w:p w:rsidR="007A378A" w:rsidRPr="00C82511" w:rsidRDefault="007A378A" w:rsidP="00C82511">
      <w:pPr>
        <w:pStyle w:val="Body"/>
        <w:keepNext/>
        <w:ind w:left="709"/>
        <w:rPr>
          <w:b/>
          <w:sz w:val="20"/>
          <w:szCs w:val="20"/>
        </w:rPr>
      </w:pPr>
      <w:r w:rsidRPr="00C82511">
        <w:rPr>
          <w:b/>
          <w:sz w:val="20"/>
          <w:szCs w:val="20"/>
        </w:rPr>
        <w:t xml:space="preserve">Table 1: Annual </w:t>
      </w:r>
      <w:r>
        <w:rPr>
          <w:b/>
          <w:sz w:val="20"/>
          <w:szCs w:val="20"/>
        </w:rPr>
        <w:t xml:space="preserve">Estimated Operating and Routine Maintenance </w:t>
      </w:r>
      <w:r w:rsidRPr="00C82511">
        <w:rPr>
          <w:b/>
          <w:sz w:val="20"/>
          <w:szCs w:val="20"/>
        </w:rPr>
        <w:t>Costs (2012 prices)</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1751"/>
        <w:gridCol w:w="2589"/>
      </w:tblGrid>
      <w:tr w:rsidR="007A378A" w:rsidTr="00610469">
        <w:tc>
          <w:tcPr>
            <w:tcW w:w="1751" w:type="dxa"/>
          </w:tcPr>
          <w:p w:rsidR="007A378A" w:rsidRDefault="007A378A" w:rsidP="00610469">
            <w:pPr>
              <w:pStyle w:val="Body"/>
              <w:keepNext/>
            </w:pPr>
          </w:p>
        </w:tc>
        <w:tc>
          <w:tcPr>
            <w:tcW w:w="1751" w:type="dxa"/>
            <w:shd w:val="clear" w:color="auto" w:fill="D9D9D9"/>
          </w:tcPr>
          <w:p w:rsidR="007A378A" w:rsidRPr="00610469" w:rsidRDefault="007A378A" w:rsidP="00610469">
            <w:pPr>
              <w:pStyle w:val="Body"/>
              <w:keepNext/>
              <w:rPr>
                <w:b/>
              </w:rPr>
            </w:pPr>
            <w:r w:rsidRPr="00610469">
              <w:rPr>
                <w:b/>
              </w:rPr>
              <w:t>Structure  Type</w:t>
            </w:r>
          </w:p>
        </w:tc>
        <w:tc>
          <w:tcPr>
            <w:tcW w:w="2589" w:type="dxa"/>
            <w:shd w:val="clear" w:color="auto" w:fill="D9D9D9"/>
          </w:tcPr>
          <w:p w:rsidR="007A378A" w:rsidRPr="00610469" w:rsidRDefault="007A378A" w:rsidP="00610469">
            <w:pPr>
              <w:pStyle w:val="Body"/>
              <w:keepNext/>
              <w:jc w:val="center"/>
              <w:rPr>
                <w:b/>
              </w:rPr>
            </w:pPr>
            <w:r w:rsidRPr="00610469">
              <w:rPr>
                <w:b/>
              </w:rPr>
              <w:t>Annual O&amp;M Costs</w:t>
            </w:r>
          </w:p>
        </w:tc>
      </w:tr>
      <w:tr w:rsidR="007A378A" w:rsidTr="00610469">
        <w:tc>
          <w:tcPr>
            <w:tcW w:w="1751" w:type="dxa"/>
            <w:vMerge w:val="restart"/>
            <w:vAlign w:val="center"/>
          </w:tcPr>
          <w:p w:rsidR="007A378A" w:rsidRDefault="007A378A" w:rsidP="00610469">
            <w:pPr>
              <w:pStyle w:val="Body"/>
              <w:jc w:val="center"/>
            </w:pPr>
            <w:r>
              <w:t>Option A</w:t>
            </w:r>
          </w:p>
        </w:tc>
        <w:tc>
          <w:tcPr>
            <w:tcW w:w="1751" w:type="dxa"/>
            <w:vAlign w:val="center"/>
          </w:tcPr>
          <w:p w:rsidR="007A378A" w:rsidRDefault="007A378A" w:rsidP="00C97B7E">
            <w:pPr>
              <w:pStyle w:val="Body"/>
            </w:pPr>
            <w:r>
              <w:t>Bridge</w:t>
            </w:r>
          </w:p>
        </w:tc>
        <w:tc>
          <w:tcPr>
            <w:tcW w:w="2589" w:type="dxa"/>
            <w:vAlign w:val="center"/>
          </w:tcPr>
          <w:p w:rsidR="007A378A" w:rsidRDefault="007A378A" w:rsidP="00610469">
            <w:pPr>
              <w:pStyle w:val="Body"/>
              <w:jc w:val="center"/>
            </w:pPr>
            <w:r>
              <w:t>£0.9M</w:t>
            </w:r>
          </w:p>
        </w:tc>
      </w:tr>
      <w:tr w:rsidR="007A378A" w:rsidTr="00610469">
        <w:tc>
          <w:tcPr>
            <w:tcW w:w="1751" w:type="dxa"/>
            <w:vMerge/>
            <w:vAlign w:val="center"/>
          </w:tcPr>
          <w:p w:rsidR="007A378A" w:rsidRDefault="007A378A" w:rsidP="00610469">
            <w:pPr>
              <w:pStyle w:val="Body"/>
              <w:jc w:val="center"/>
            </w:pPr>
          </w:p>
        </w:tc>
        <w:tc>
          <w:tcPr>
            <w:tcW w:w="1751" w:type="dxa"/>
            <w:vAlign w:val="center"/>
          </w:tcPr>
          <w:p w:rsidR="007A378A" w:rsidRDefault="007A378A" w:rsidP="00C97B7E">
            <w:pPr>
              <w:pStyle w:val="Body"/>
            </w:pPr>
            <w:r>
              <w:t>Immersed Tunnel</w:t>
            </w:r>
          </w:p>
        </w:tc>
        <w:tc>
          <w:tcPr>
            <w:tcW w:w="2589" w:type="dxa"/>
            <w:vAlign w:val="center"/>
          </w:tcPr>
          <w:p w:rsidR="007A378A" w:rsidRDefault="007A378A" w:rsidP="00610469">
            <w:pPr>
              <w:pStyle w:val="Body"/>
              <w:jc w:val="center"/>
            </w:pPr>
            <w:r>
              <w:t>£3.8M</w:t>
            </w:r>
          </w:p>
        </w:tc>
      </w:tr>
      <w:tr w:rsidR="007A378A" w:rsidTr="00610469">
        <w:tc>
          <w:tcPr>
            <w:tcW w:w="1751" w:type="dxa"/>
            <w:vMerge/>
            <w:vAlign w:val="center"/>
          </w:tcPr>
          <w:p w:rsidR="007A378A" w:rsidRDefault="007A378A" w:rsidP="00610469">
            <w:pPr>
              <w:pStyle w:val="Body"/>
              <w:jc w:val="center"/>
            </w:pPr>
          </w:p>
        </w:tc>
        <w:tc>
          <w:tcPr>
            <w:tcW w:w="1751" w:type="dxa"/>
            <w:vAlign w:val="center"/>
          </w:tcPr>
          <w:p w:rsidR="007A378A" w:rsidRDefault="007A378A" w:rsidP="00C97B7E">
            <w:pPr>
              <w:pStyle w:val="Body"/>
            </w:pPr>
            <w:r>
              <w:t>Bored Tunnel</w:t>
            </w:r>
          </w:p>
        </w:tc>
        <w:tc>
          <w:tcPr>
            <w:tcW w:w="2589" w:type="dxa"/>
            <w:vAlign w:val="center"/>
          </w:tcPr>
          <w:p w:rsidR="007A378A" w:rsidRDefault="007A378A" w:rsidP="00610469">
            <w:pPr>
              <w:pStyle w:val="Body"/>
              <w:jc w:val="center"/>
            </w:pPr>
            <w:r>
              <w:t>£3.6M</w:t>
            </w:r>
          </w:p>
        </w:tc>
      </w:tr>
      <w:tr w:rsidR="007A378A" w:rsidTr="00610469">
        <w:tc>
          <w:tcPr>
            <w:tcW w:w="1751" w:type="dxa"/>
            <w:vMerge w:val="restart"/>
            <w:vAlign w:val="center"/>
          </w:tcPr>
          <w:p w:rsidR="007A378A" w:rsidRDefault="007A378A" w:rsidP="00610469">
            <w:pPr>
              <w:pStyle w:val="Body"/>
              <w:jc w:val="center"/>
            </w:pPr>
            <w:r>
              <w:t>Option B</w:t>
            </w:r>
          </w:p>
        </w:tc>
        <w:tc>
          <w:tcPr>
            <w:tcW w:w="1751" w:type="dxa"/>
            <w:vAlign w:val="center"/>
          </w:tcPr>
          <w:p w:rsidR="007A378A" w:rsidRDefault="007A378A" w:rsidP="00C97B7E">
            <w:pPr>
              <w:pStyle w:val="Body"/>
            </w:pPr>
            <w:r>
              <w:t>Bridge</w:t>
            </w:r>
          </w:p>
        </w:tc>
        <w:tc>
          <w:tcPr>
            <w:tcW w:w="2589" w:type="dxa"/>
            <w:vAlign w:val="center"/>
          </w:tcPr>
          <w:p w:rsidR="007A378A" w:rsidRDefault="007A378A" w:rsidP="00610469">
            <w:pPr>
              <w:pStyle w:val="Body"/>
              <w:jc w:val="center"/>
            </w:pPr>
            <w:r>
              <w:t>£1.3M</w:t>
            </w:r>
          </w:p>
        </w:tc>
      </w:tr>
      <w:tr w:rsidR="007A378A" w:rsidTr="00610469">
        <w:tc>
          <w:tcPr>
            <w:tcW w:w="1751" w:type="dxa"/>
            <w:vMerge/>
            <w:vAlign w:val="center"/>
          </w:tcPr>
          <w:p w:rsidR="007A378A" w:rsidRDefault="007A378A" w:rsidP="00610469">
            <w:pPr>
              <w:pStyle w:val="Body"/>
              <w:jc w:val="center"/>
            </w:pPr>
          </w:p>
        </w:tc>
        <w:tc>
          <w:tcPr>
            <w:tcW w:w="1751" w:type="dxa"/>
            <w:vAlign w:val="center"/>
          </w:tcPr>
          <w:p w:rsidR="007A378A" w:rsidRDefault="007A378A" w:rsidP="00C97B7E">
            <w:pPr>
              <w:pStyle w:val="Body"/>
            </w:pPr>
            <w:r>
              <w:t>Immersed Tunnel</w:t>
            </w:r>
          </w:p>
        </w:tc>
        <w:tc>
          <w:tcPr>
            <w:tcW w:w="2589" w:type="dxa"/>
            <w:vAlign w:val="center"/>
          </w:tcPr>
          <w:p w:rsidR="007A378A" w:rsidRDefault="007A378A" w:rsidP="00610469">
            <w:pPr>
              <w:pStyle w:val="Body"/>
              <w:jc w:val="center"/>
            </w:pPr>
            <w:r>
              <w:t>£4.7M</w:t>
            </w:r>
          </w:p>
        </w:tc>
      </w:tr>
      <w:tr w:rsidR="007A378A" w:rsidTr="00610469">
        <w:tc>
          <w:tcPr>
            <w:tcW w:w="1751" w:type="dxa"/>
            <w:vMerge/>
            <w:vAlign w:val="center"/>
          </w:tcPr>
          <w:p w:rsidR="007A378A" w:rsidRDefault="007A378A" w:rsidP="00610469">
            <w:pPr>
              <w:pStyle w:val="Body"/>
              <w:jc w:val="center"/>
            </w:pPr>
          </w:p>
        </w:tc>
        <w:tc>
          <w:tcPr>
            <w:tcW w:w="1751" w:type="dxa"/>
            <w:vAlign w:val="center"/>
          </w:tcPr>
          <w:p w:rsidR="007A378A" w:rsidRDefault="007A378A" w:rsidP="00C97B7E">
            <w:pPr>
              <w:pStyle w:val="Body"/>
            </w:pPr>
            <w:r>
              <w:t>Bored Tunnel</w:t>
            </w:r>
          </w:p>
        </w:tc>
        <w:tc>
          <w:tcPr>
            <w:tcW w:w="2589" w:type="dxa"/>
            <w:vAlign w:val="center"/>
          </w:tcPr>
          <w:p w:rsidR="007A378A" w:rsidRDefault="007A378A" w:rsidP="00610469">
            <w:pPr>
              <w:pStyle w:val="Body"/>
              <w:jc w:val="center"/>
            </w:pPr>
            <w:r>
              <w:t>£5.0M</w:t>
            </w:r>
          </w:p>
        </w:tc>
      </w:tr>
      <w:tr w:rsidR="007A378A" w:rsidTr="00610469">
        <w:tc>
          <w:tcPr>
            <w:tcW w:w="1751" w:type="dxa"/>
            <w:vMerge w:val="restart"/>
            <w:vAlign w:val="center"/>
          </w:tcPr>
          <w:p w:rsidR="007A378A" w:rsidRDefault="007A378A" w:rsidP="00610469">
            <w:pPr>
              <w:pStyle w:val="Body"/>
              <w:jc w:val="center"/>
            </w:pPr>
            <w:r>
              <w:t>Option C</w:t>
            </w:r>
          </w:p>
        </w:tc>
        <w:tc>
          <w:tcPr>
            <w:tcW w:w="1751" w:type="dxa"/>
            <w:vAlign w:val="center"/>
          </w:tcPr>
          <w:p w:rsidR="007A378A" w:rsidRDefault="007A378A" w:rsidP="00C97B7E">
            <w:pPr>
              <w:pStyle w:val="Body"/>
            </w:pPr>
            <w:r>
              <w:t>Bridge</w:t>
            </w:r>
          </w:p>
        </w:tc>
        <w:tc>
          <w:tcPr>
            <w:tcW w:w="2589" w:type="dxa"/>
            <w:vAlign w:val="center"/>
          </w:tcPr>
          <w:p w:rsidR="007A378A" w:rsidRDefault="007A378A" w:rsidP="00610469">
            <w:pPr>
              <w:pStyle w:val="Body"/>
              <w:jc w:val="center"/>
            </w:pPr>
            <w:r>
              <w:t>£2.4M</w:t>
            </w:r>
          </w:p>
        </w:tc>
      </w:tr>
      <w:tr w:rsidR="007A378A" w:rsidTr="00610469">
        <w:tc>
          <w:tcPr>
            <w:tcW w:w="1751" w:type="dxa"/>
            <w:vMerge/>
          </w:tcPr>
          <w:p w:rsidR="007A378A" w:rsidRDefault="007A378A" w:rsidP="00944C04">
            <w:pPr>
              <w:pStyle w:val="Body"/>
            </w:pPr>
          </w:p>
        </w:tc>
        <w:tc>
          <w:tcPr>
            <w:tcW w:w="1751" w:type="dxa"/>
            <w:vAlign w:val="center"/>
          </w:tcPr>
          <w:p w:rsidR="007A378A" w:rsidRDefault="007A378A" w:rsidP="00C97B7E">
            <w:pPr>
              <w:pStyle w:val="Body"/>
            </w:pPr>
            <w:r>
              <w:t>Immersed Tunnel</w:t>
            </w:r>
          </w:p>
        </w:tc>
        <w:tc>
          <w:tcPr>
            <w:tcW w:w="2589" w:type="dxa"/>
            <w:vAlign w:val="center"/>
          </w:tcPr>
          <w:p w:rsidR="007A378A" w:rsidRDefault="007A378A" w:rsidP="00610469">
            <w:pPr>
              <w:pStyle w:val="Body"/>
              <w:jc w:val="center"/>
            </w:pPr>
            <w:r>
              <w:t>£7.8M</w:t>
            </w:r>
          </w:p>
        </w:tc>
      </w:tr>
      <w:tr w:rsidR="007A378A" w:rsidTr="00610469">
        <w:tc>
          <w:tcPr>
            <w:tcW w:w="1751" w:type="dxa"/>
            <w:vMerge/>
          </w:tcPr>
          <w:p w:rsidR="007A378A" w:rsidRDefault="007A378A" w:rsidP="00944C04">
            <w:pPr>
              <w:pStyle w:val="Body"/>
            </w:pPr>
          </w:p>
        </w:tc>
        <w:tc>
          <w:tcPr>
            <w:tcW w:w="1751" w:type="dxa"/>
            <w:vAlign w:val="center"/>
          </w:tcPr>
          <w:p w:rsidR="007A378A" w:rsidRDefault="007A378A" w:rsidP="00C97B7E">
            <w:pPr>
              <w:pStyle w:val="Body"/>
            </w:pPr>
            <w:r>
              <w:t>Bored Tunnel</w:t>
            </w:r>
          </w:p>
        </w:tc>
        <w:tc>
          <w:tcPr>
            <w:tcW w:w="2589" w:type="dxa"/>
            <w:vAlign w:val="center"/>
          </w:tcPr>
          <w:p w:rsidR="007A378A" w:rsidRDefault="007A378A" w:rsidP="00610469">
            <w:pPr>
              <w:pStyle w:val="Body"/>
              <w:jc w:val="center"/>
            </w:pPr>
            <w:r>
              <w:t>£7.9M</w:t>
            </w:r>
          </w:p>
        </w:tc>
      </w:tr>
      <w:tr w:rsidR="007A378A" w:rsidTr="00610469">
        <w:tc>
          <w:tcPr>
            <w:tcW w:w="3502" w:type="dxa"/>
            <w:gridSpan w:val="2"/>
          </w:tcPr>
          <w:p w:rsidR="007A378A" w:rsidRDefault="007A378A" w:rsidP="00C97B7E">
            <w:pPr>
              <w:pStyle w:val="Body"/>
            </w:pPr>
            <w:r>
              <w:t xml:space="preserve"> C Variant</w:t>
            </w:r>
          </w:p>
        </w:tc>
        <w:tc>
          <w:tcPr>
            <w:tcW w:w="2589" w:type="dxa"/>
            <w:vAlign w:val="center"/>
          </w:tcPr>
          <w:p w:rsidR="007A378A" w:rsidRDefault="007A378A" w:rsidP="00610469">
            <w:pPr>
              <w:pStyle w:val="Body"/>
              <w:jc w:val="center"/>
            </w:pPr>
            <w:r>
              <w:t>£2.7M</w:t>
            </w:r>
          </w:p>
        </w:tc>
      </w:tr>
    </w:tbl>
    <w:p w:rsidR="007A378A" w:rsidRPr="002C3D96" w:rsidRDefault="00EF3296" w:rsidP="007E16B3">
      <w:pPr>
        <w:pStyle w:val="Para3"/>
        <w:numPr>
          <w:ilvl w:val="0"/>
          <w:numId w:val="0"/>
        </w:numPr>
        <w:ind w:left="680"/>
        <w:rPr>
          <w:i w:val="0"/>
          <w:sz w:val="16"/>
          <w:szCs w:val="20"/>
        </w:rPr>
      </w:pPr>
      <w:r w:rsidRPr="00EF3296">
        <w:rPr>
          <w:i w:val="0"/>
          <w:sz w:val="16"/>
          <w:szCs w:val="20"/>
        </w:rPr>
        <w:t>Note: Costs exclude VAT, although non-recoverable VAT is included</w:t>
      </w:r>
    </w:p>
    <w:p w:rsidR="002C3D96" w:rsidRDefault="002C3D96" w:rsidP="007E16B3">
      <w:pPr>
        <w:pStyle w:val="Para3"/>
        <w:numPr>
          <w:ilvl w:val="0"/>
          <w:numId w:val="0"/>
        </w:numPr>
        <w:ind w:left="680"/>
        <w:rPr>
          <w:i w:val="0"/>
          <w:sz w:val="20"/>
          <w:szCs w:val="20"/>
        </w:rPr>
      </w:pPr>
    </w:p>
    <w:p w:rsidR="00302E0C" w:rsidRDefault="007A378A">
      <w:pPr>
        <w:pStyle w:val="Para3"/>
        <w:numPr>
          <w:ilvl w:val="2"/>
          <w:numId w:val="10"/>
        </w:numPr>
        <w:tabs>
          <w:tab w:val="clear" w:pos="1440"/>
          <w:tab w:val="num" w:pos="709"/>
        </w:tabs>
        <w:rPr>
          <w:i w:val="0"/>
          <w:sz w:val="20"/>
          <w:szCs w:val="20"/>
        </w:rPr>
      </w:pPr>
      <w:r>
        <w:rPr>
          <w:i w:val="0"/>
          <w:sz w:val="20"/>
          <w:szCs w:val="20"/>
        </w:rPr>
        <w:t xml:space="preserve">Based on our benchmarking of these cost rates we would expect costs to be within a range of </w:t>
      </w:r>
      <w:r w:rsidRPr="002C3D96">
        <w:rPr>
          <w:i w:val="0"/>
          <w:sz w:val="20"/>
          <w:szCs w:val="20"/>
        </w:rPr>
        <w:t>±</w:t>
      </w:r>
      <w:r>
        <w:rPr>
          <w:i w:val="0"/>
          <w:sz w:val="20"/>
          <w:szCs w:val="20"/>
        </w:rPr>
        <w:t xml:space="preserve">30% of these estimates.  These costs reflect a range of aspects and we would therefore assume that they would increase over time in line with the consumer price index. </w:t>
      </w:r>
    </w:p>
    <w:p w:rsidR="007A378A" w:rsidRDefault="007A378A" w:rsidP="00944C04">
      <w:pPr>
        <w:pStyle w:val="Body"/>
      </w:pPr>
    </w:p>
    <w:p w:rsidR="007A378A" w:rsidRDefault="007A378A" w:rsidP="00944C04">
      <w:pPr>
        <w:pStyle w:val="Hdg2"/>
        <w:numPr>
          <w:ilvl w:val="1"/>
          <w:numId w:val="10"/>
        </w:numPr>
        <w:spacing w:after="120"/>
        <w:rPr>
          <w:sz w:val="20"/>
          <w:szCs w:val="20"/>
        </w:rPr>
      </w:pPr>
      <w:bookmarkStart w:id="42" w:name="_Toc341694616"/>
      <w:r>
        <w:rPr>
          <w:sz w:val="20"/>
          <w:szCs w:val="20"/>
        </w:rPr>
        <w:t xml:space="preserve">Renewal </w:t>
      </w:r>
      <w:r w:rsidRPr="00944C04">
        <w:rPr>
          <w:sz w:val="20"/>
          <w:szCs w:val="20"/>
        </w:rPr>
        <w:t>Maintenance Costs</w:t>
      </w:r>
      <w:bookmarkEnd w:id="42"/>
    </w:p>
    <w:p w:rsidR="00302E0C" w:rsidRDefault="007A378A">
      <w:pPr>
        <w:pStyle w:val="Para3"/>
        <w:numPr>
          <w:ilvl w:val="2"/>
          <w:numId w:val="10"/>
        </w:numPr>
        <w:tabs>
          <w:tab w:val="clear" w:pos="1440"/>
          <w:tab w:val="num" w:pos="709"/>
        </w:tabs>
        <w:rPr>
          <w:i w:val="0"/>
          <w:sz w:val="20"/>
          <w:szCs w:val="20"/>
        </w:rPr>
      </w:pPr>
      <w:r w:rsidRPr="009A4447">
        <w:rPr>
          <w:i w:val="0"/>
          <w:sz w:val="20"/>
          <w:szCs w:val="20"/>
        </w:rPr>
        <w:t xml:space="preserve">Renewal maintenance relates to planned works to repair or replace the road infrastructure to keep it fit for use.  </w:t>
      </w:r>
      <w:r>
        <w:rPr>
          <w:i w:val="0"/>
          <w:sz w:val="20"/>
          <w:szCs w:val="20"/>
        </w:rPr>
        <w:t>Annual maintenance costs will vary according to the lifetime of the individual components. The maintenance cycle will depend on detailed design decisions on the materials and components. We have, therefore, estimated annual average costs for the purposes of this study.</w:t>
      </w:r>
      <w:r w:rsidRPr="009A4447">
        <w:rPr>
          <w:i w:val="0"/>
          <w:sz w:val="20"/>
          <w:szCs w:val="20"/>
        </w:rPr>
        <w:t xml:space="preserve">  </w:t>
      </w:r>
    </w:p>
    <w:p w:rsidR="00302E0C" w:rsidRDefault="007A378A">
      <w:pPr>
        <w:pStyle w:val="Para3"/>
        <w:numPr>
          <w:ilvl w:val="2"/>
          <w:numId w:val="10"/>
        </w:numPr>
        <w:tabs>
          <w:tab w:val="clear" w:pos="1440"/>
          <w:tab w:val="num" w:pos="709"/>
        </w:tabs>
        <w:rPr>
          <w:i w:val="0"/>
          <w:sz w:val="20"/>
          <w:szCs w:val="20"/>
        </w:rPr>
      </w:pPr>
      <w:r w:rsidRPr="009A4447">
        <w:rPr>
          <w:i w:val="0"/>
          <w:sz w:val="20"/>
          <w:szCs w:val="20"/>
        </w:rPr>
        <w:t>For a tunnel, items needing to be replaced on a planned basis include mechanical and electrical equipment and road surfacing.  Whereas for a major bridge, major items for replacement include bridge bearings, road deck joints, road surfacing and corrosion protection works.</w:t>
      </w:r>
    </w:p>
    <w:p w:rsidR="00302E0C" w:rsidRDefault="007A378A">
      <w:pPr>
        <w:pStyle w:val="Para3"/>
        <w:numPr>
          <w:ilvl w:val="2"/>
          <w:numId w:val="10"/>
        </w:numPr>
        <w:tabs>
          <w:tab w:val="clear" w:pos="1440"/>
          <w:tab w:val="num" w:pos="709"/>
        </w:tabs>
        <w:rPr>
          <w:i w:val="0"/>
          <w:sz w:val="20"/>
          <w:szCs w:val="20"/>
        </w:rPr>
      </w:pPr>
      <w:r w:rsidRPr="009A4447">
        <w:rPr>
          <w:i w:val="0"/>
          <w:sz w:val="20"/>
          <w:szCs w:val="20"/>
        </w:rPr>
        <w:t xml:space="preserve">For the major crossing structure </w:t>
      </w:r>
      <w:r>
        <w:rPr>
          <w:i w:val="0"/>
          <w:sz w:val="20"/>
          <w:szCs w:val="20"/>
        </w:rPr>
        <w:t>adjacent link roads and the tunnel for Option C variant, we have drawn on benchmark evidence on major estuarial crossings</w:t>
      </w:r>
      <w:r w:rsidRPr="009A4447">
        <w:rPr>
          <w:i w:val="0"/>
          <w:sz w:val="20"/>
          <w:szCs w:val="20"/>
        </w:rPr>
        <w:t xml:space="preserve"> </w:t>
      </w:r>
      <w:r>
        <w:rPr>
          <w:i w:val="0"/>
          <w:sz w:val="20"/>
          <w:szCs w:val="20"/>
        </w:rPr>
        <w:t xml:space="preserve">(see </w:t>
      </w:r>
      <w:r w:rsidRPr="009A4447">
        <w:rPr>
          <w:i w:val="0"/>
          <w:sz w:val="20"/>
          <w:szCs w:val="20"/>
        </w:rPr>
        <w:t xml:space="preserve">Section </w:t>
      </w:r>
      <w:fldSimple w:instr=" REF _Ref336955129 \r \h  \* MERGEFORMAT ">
        <w:r>
          <w:rPr>
            <w:i w:val="0"/>
            <w:sz w:val="20"/>
            <w:szCs w:val="20"/>
          </w:rPr>
          <w:t>2.2.4</w:t>
        </w:r>
      </w:fldSimple>
      <w:r>
        <w:rPr>
          <w:i w:val="0"/>
          <w:sz w:val="20"/>
          <w:szCs w:val="20"/>
        </w:rPr>
        <w:t>)</w:t>
      </w:r>
      <w:r w:rsidRPr="009A4447">
        <w:rPr>
          <w:i w:val="0"/>
          <w:sz w:val="20"/>
          <w:szCs w:val="20"/>
        </w:rPr>
        <w:t>.</w:t>
      </w:r>
      <w:r>
        <w:rPr>
          <w:i w:val="0"/>
          <w:sz w:val="20"/>
          <w:szCs w:val="20"/>
        </w:rPr>
        <w:t xml:space="preserve"> For the longer length of link roads required for Option C we have drawn on</w:t>
      </w:r>
      <w:r w:rsidRPr="009A4447">
        <w:rPr>
          <w:i w:val="0"/>
          <w:sz w:val="20"/>
          <w:szCs w:val="20"/>
        </w:rPr>
        <w:t xml:space="preserve"> data made available from the Highways Agency’s Trunk Road maintenance statistics</w:t>
      </w:r>
      <w:r>
        <w:rPr>
          <w:i w:val="0"/>
          <w:sz w:val="20"/>
          <w:szCs w:val="20"/>
        </w:rPr>
        <w:t xml:space="preserve"> to calculate costs outside the approach roads area.</w:t>
      </w:r>
    </w:p>
    <w:p w:rsidR="00302E0C" w:rsidRDefault="007A378A">
      <w:pPr>
        <w:pStyle w:val="Para3"/>
        <w:numPr>
          <w:ilvl w:val="2"/>
          <w:numId w:val="10"/>
        </w:numPr>
        <w:tabs>
          <w:tab w:val="clear" w:pos="1440"/>
          <w:tab w:val="num" w:pos="709"/>
        </w:tabs>
        <w:rPr>
          <w:i w:val="0"/>
          <w:sz w:val="20"/>
          <w:szCs w:val="20"/>
        </w:rPr>
      </w:pPr>
      <w:r>
        <w:rPr>
          <w:i w:val="0"/>
          <w:sz w:val="20"/>
          <w:szCs w:val="20"/>
        </w:rPr>
        <w:t>The benchmark costs were interpreted, using l</w:t>
      </w:r>
      <w:r w:rsidRPr="009A4447">
        <w:rPr>
          <w:i w:val="0"/>
          <w:sz w:val="20"/>
          <w:szCs w:val="20"/>
        </w:rPr>
        <w:t>inear interpolation bas</w:t>
      </w:r>
      <w:r>
        <w:rPr>
          <w:i w:val="0"/>
          <w:sz w:val="20"/>
          <w:szCs w:val="20"/>
        </w:rPr>
        <w:t xml:space="preserve">ed on the dimensions of the illustrative designs, </w:t>
      </w:r>
      <w:r w:rsidRPr="009A4447">
        <w:rPr>
          <w:i w:val="0"/>
          <w:sz w:val="20"/>
          <w:szCs w:val="20"/>
        </w:rPr>
        <w:t xml:space="preserve">to </w:t>
      </w:r>
      <w:r>
        <w:rPr>
          <w:i w:val="0"/>
          <w:sz w:val="20"/>
          <w:szCs w:val="20"/>
        </w:rPr>
        <w:t>estimate</w:t>
      </w:r>
      <w:r w:rsidRPr="009A4447">
        <w:rPr>
          <w:i w:val="0"/>
          <w:sz w:val="20"/>
          <w:szCs w:val="20"/>
        </w:rPr>
        <w:t xml:space="preserve"> costs for each of </w:t>
      </w:r>
      <w:r>
        <w:rPr>
          <w:i w:val="0"/>
          <w:sz w:val="20"/>
          <w:szCs w:val="20"/>
        </w:rPr>
        <w:t>o</w:t>
      </w:r>
      <w:r w:rsidRPr="009A4447">
        <w:rPr>
          <w:i w:val="0"/>
          <w:sz w:val="20"/>
          <w:szCs w:val="20"/>
        </w:rPr>
        <w:t xml:space="preserve">ptions assessed. </w:t>
      </w:r>
    </w:p>
    <w:p w:rsidR="00302E0C" w:rsidRDefault="007A378A">
      <w:pPr>
        <w:pStyle w:val="Para3"/>
        <w:numPr>
          <w:ilvl w:val="2"/>
          <w:numId w:val="10"/>
        </w:numPr>
        <w:tabs>
          <w:tab w:val="clear" w:pos="1440"/>
          <w:tab w:val="num" w:pos="709"/>
        </w:tabs>
        <w:rPr>
          <w:i w:val="0"/>
          <w:sz w:val="20"/>
          <w:szCs w:val="20"/>
        </w:rPr>
      </w:pPr>
      <w:r>
        <w:rPr>
          <w:i w:val="0"/>
          <w:sz w:val="20"/>
          <w:szCs w:val="20"/>
        </w:rPr>
        <w:br w:type="page"/>
      </w:r>
      <w:r w:rsidRPr="002C3D96">
        <w:rPr>
          <w:i w:val="0"/>
          <w:sz w:val="20"/>
          <w:szCs w:val="20"/>
        </w:rPr>
        <w:lastRenderedPageBreak/>
        <w:t>Table 2 below shows the renewal maintenance costs estimates.</w:t>
      </w:r>
      <w:r w:rsidR="0033578C">
        <w:rPr>
          <w:i w:val="0"/>
          <w:sz w:val="20"/>
          <w:szCs w:val="20"/>
        </w:rPr>
        <w:t xml:space="preserve">  </w:t>
      </w:r>
    </w:p>
    <w:p w:rsidR="007A378A" w:rsidRPr="002C3D96" w:rsidRDefault="007A378A" w:rsidP="00054EDF">
      <w:pPr>
        <w:pStyle w:val="Para3"/>
        <w:numPr>
          <w:ilvl w:val="0"/>
          <w:numId w:val="0"/>
        </w:numPr>
        <w:ind w:left="680"/>
        <w:rPr>
          <w:i w:val="0"/>
          <w:sz w:val="20"/>
          <w:szCs w:val="20"/>
        </w:rPr>
      </w:pPr>
    </w:p>
    <w:p w:rsidR="007A378A" w:rsidRDefault="007A378A">
      <w:pPr>
        <w:pStyle w:val="Body"/>
        <w:keepNext/>
        <w:ind w:firstLine="624"/>
        <w:rPr>
          <w:b/>
          <w:sz w:val="20"/>
          <w:szCs w:val="20"/>
        </w:rPr>
      </w:pPr>
      <w:r w:rsidRPr="001279C6">
        <w:rPr>
          <w:i/>
          <w:sz w:val="20"/>
          <w:szCs w:val="20"/>
        </w:rPr>
        <w:t xml:space="preserve"> </w:t>
      </w:r>
      <w:r w:rsidRPr="00D025D2">
        <w:rPr>
          <w:b/>
          <w:sz w:val="20"/>
          <w:szCs w:val="20"/>
        </w:rPr>
        <w:t xml:space="preserve">Table 2: Annual </w:t>
      </w:r>
      <w:r>
        <w:rPr>
          <w:b/>
          <w:sz w:val="20"/>
          <w:szCs w:val="20"/>
        </w:rPr>
        <w:t xml:space="preserve">Average </w:t>
      </w:r>
      <w:r w:rsidRPr="00D025D2">
        <w:rPr>
          <w:b/>
          <w:sz w:val="20"/>
          <w:szCs w:val="20"/>
        </w:rPr>
        <w:t>Maintenance Renewal Costs (2012 prices)</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1751"/>
        <w:gridCol w:w="2589"/>
      </w:tblGrid>
      <w:tr w:rsidR="007A378A" w:rsidTr="00610469">
        <w:tc>
          <w:tcPr>
            <w:tcW w:w="1751" w:type="dxa"/>
          </w:tcPr>
          <w:p w:rsidR="007A378A" w:rsidRDefault="007A378A" w:rsidP="00610469">
            <w:pPr>
              <w:pStyle w:val="Body"/>
              <w:keepNext/>
            </w:pPr>
          </w:p>
        </w:tc>
        <w:tc>
          <w:tcPr>
            <w:tcW w:w="1751" w:type="dxa"/>
            <w:shd w:val="clear" w:color="auto" w:fill="D9D9D9"/>
          </w:tcPr>
          <w:p w:rsidR="007A378A" w:rsidRPr="00610469" w:rsidRDefault="007A378A" w:rsidP="00610469">
            <w:pPr>
              <w:pStyle w:val="Body"/>
              <w:keepNext/>
              <w:rPr>
                <w:b/>
              </w:rPr>
            </w:pPr>
            <w:r w:rsidRPr="00610469">
              <w:rPr>
                <w:b/>
              </w:rPr>
              <w:t>Structure  Type</w:t>
            </w:r>
          </w:p>
        </w:tc>
        <w:tc>
          <w:tcPr>
            <w:tcW w:w="2589" w:type="dxa"/>
            <w:shd w:val="clear" w:color="auto" w:fill="D9D9D9"/>
          </w:tcPr>
          <w:p w:rsidR="007A378A" w:rsidRPr="00610469" w:rsidRDefault="007A378A" w:rsidP="00610469">
            <w:pPr>
              <w:pStyle w:val="Body"/>
              <w:keepNext/>
              <w:jc w:val="center"/>
              <w:rPr>
                <w:b/>
              </w:rPr>
            </w:pPr>
            <w:r w:rsidRPr="00610469">
              <w:rPr>
                <w:b/>
              </w:rPr>
              <w:t>Annual Renewal Costs</w:t>
            </w:r>
          </w:p>
        </w:tc>
      </w:tr>
      <w:tr w:rsidR="007A378A" w:rsidTr="00610469">
        <w:tc>
          <w:tcPr>
            <w:tcW w:w="1751" w:type="dxa"/>
            <w:vMerge w:val="restart"/>
            <w:vAlign w:val="center"/>
          </w:tcPr>
          <w:p w:rsidR="007A378A" w:rsidRDefault="007A378A" w:rsidP="00610469">
            <w:pPr>
              <w:pStyle w:val="Body"/>
              <w:keepNext/>
            </w:pPr>
            <w:r>
              <w:t>Option A</w:t>
            </w:r>
          </w:p>
        </w:tc>
        <w:tc>
          <w:tcPr>
            <w:tcW w:w="1751" w:type="dxa"/>
          </w:tcPr>
          <w:p w:rsidR="007A378A" w:rsidRDefault="007A378A" w:rsidP="00610469">
            <w:pPr>
              <w:pStyle w:val="Body"/>
              <w:keepNext/>
            </w:pPr>
            <w:r>
              <w:t>Bridge</w:t>
            </w:r>
          </w:p>
        </w:tc>
        <w:tc>
          <w:tcPr>
            <w:tcW w:w="2589" w:type="dxa"/>
          </w:tcPr>
          <w:p w:rsidR="007A378A" w:rsidRDefault="007A378A" w:rsidP="00610469">
            <w:pPr>
              <w:pStyle w:val="Body"/>
              <w:keepNext/>
              <w:jc w:val="center"/>
            </w:pPr>
            <w:r>
              <w:t>£0.4M</w:t>
            </w:r>
          </w:p>
        </w:tc>
      </w:tr>
      <w:tr w:rsidR="007A378A" w:rsidTr="00610469">
        <w:tc>
          <w:tcPr>
            <w:tcW w:w="1751" w:type="dxa"/>
            <w:vMerge/>
            <w:vAlign w:val="center"/>
          </w:tcPr>
          <w:p w:rsidR="007A378A" w:rsidRDefault="007A378A" w:rsidP="00C97B7E">
            <w:pPr>
              <w:pStyle w:val="Body"/>
            </w:pPr>
          </w:p>
        </w:tc>
        <w:tc>
          <w:tcPr>
            <w:tcW w:w="1751" w:type="dxa"/>
          </w:tcPr>
          <w:p w:rsidR="007A378A" w:rsidRDefault="007A378A" w:rsidP="00970703">
            <w:pPr>
              <w:pStyle w:val="Body"/>
            </w:pPr>
            <w:r>
              <w:t>Immersed Tunnel</w:t>
            </w:r>
          </w:p>
        </w:tc>
        <w:tc>
          <w:tcPr>
            <w:tcW w:w="2589" w:type="dxa"/>
          </w:tcPr>
          <w:p w:rsidR="007A378A" w:rsidRDefault="007A378A" w:rsidP="00610469">
            <w:pPr>
              <w:pStyle w:val="Body"/>
              <w:jc w:val="center"/>
            </w:pPr>
            <w:r>
              <w:t>£1.3M</w:t>
            </w:r>
          </w:p>
        </w:tc>
      </w:tr>
      <w:tr w:rsidR="007A378A" w:rsidTr="00610469">
        <w:tc>
          <w:tcPr>
            <w:tcW w:w="1751" w:type="dxa"/>
            <w:vMerge/>
            <w:vAlign w:val="center"/>
          </w:tcPr>
          <w:p w:rsidR="007A378A" w:rsidRDefault="007A378A" w:rsidP="00C97B7E">
            <w:pPr>
              <w:pStyle w:val="Body"/>
            </w:pPr>
          </w:p>
        </w:tc>
        <w:tc>
          <w:tcPr>
            <w:tcW w:w="1751" w:type="dxa"/>
          </w:tcPr>
          <w:p w:rsidR="007A378A" w:rsidRDefault="007A378A" w:rsidP="00970703">
            <w:pPr>
              <w:pStyle w:val="Body"/>
            </w:pPr>
            <w:r>
              <w:t>Bored Tunnel</w:t>
            </w:r>
          </w:p>
        </w:tc>
        <w:tc>
          <w:tcPr>
            <w:tcW w:w="2589" w:type="dxa"/>
          </w:tcPr>
          <w:p w:rsidR="007A378A" w:rsidRDefault="007A378A" w:rsidP="00610469">
            <w:pPr>
              <w:pStyle w:val="Body"/>
              <w:jc w:val="center"/>
            </w:pPr>
            <w:r>
              <w:t>£1.2M</w:t>
            </w:r>
          </w:p>
        </w:tc>
      </w:tr>
      <w:tr w:rsidR="007A378A" w:rsidTr="00610469">
        <w:tc>
          <w:tcPr>
            <w:tcW w:w="1751" w:type="dxa"/>
            <w:vMerge w:val="restart"/>
            <w:vAlign w:val="center"/>
          </w:tcPr>
          <w:p w:rsidR="007A378A" w:rsidRDefault="007A378A" w:rsidP="00C97B7E">
            <w:pPr>
              <w:pStyle w:val="Body"/>
            </w:pPr>
            <w:r>
              <w:t xml:space="preserve">Option B </w:t>
            </w:r>
          </w:p>
        </w:tc>
        <w:tc>
          <w:tcPr>
            <w:tcW w:w="1751" w:type="dxa"/>
          </w:tcPr>
          <w:p w:rsidR="007A378A" w:rsidRDefault="007A378A" w:rsidP="00970703">
            <w:pPr>
              <w:pStyle w:val="Body"/>
            </w:pPr>
            <w:r>
              <w:t>Bridge</w:t>
            </w:r>
          </w:p>
        </w:tc>
        <w:tc>
          <w:tcPr>
            <w:tcW w:w="2589" w:type="dxa"/>
          </w:tcPr>
          <w:p w:rsidR="007A378A" w:rsidRDefault="007A378A" w:rsidP="00610469">
            <w:pPr>
              <w:pStyle w:val="Body"/>
              <w:jc w:val="center"/>
            </w:pPr>
            <w:r>
              <w:t>£0.6M</w:t>
            </w:r>
          </w:p>
        </w:tc>
      </w:tr>
      <w:tr w:rsidR="007A378A" w:rsidTr="00610469">
        <w:tc>
          <w:tcPr>
            <w:tcW w:w="1751" w:type="dxa"/>
            <w:vMerge/>
            <w:vAlign w:val="center"/>
          </w:tcPr>
          <w:p w:rsidR="007A378A" w:rsidRDefault="007A378A" w:rsidP="00C97B7E">
            <w:pPr>
              <w:pStyle w:val="Body"/>
            </w:pPr>
          </w:p>
        </w:tc>
        <w:tc>
          <w:tcPr>
            <w:tcW w:w="1751" w:type="dxa"/>
          </w:tcPr>
          <w:p w:rsidR="007A378A" w:rsidRDefault="007A378A" w:rsidP="00970703">
            <w:pPr>
              <w:pStyle w:val="Body"/>
            </w:pPr>
            <w:r>
              <w:t>Immersed Tunnel</w:t>
            </w:r>
          </w:p>
        </w:tc>
        <w:tc>
          <w:tcPr>
            <w:tcW w:w="2589" w:type="dxa"/>
          </w:tcPr>
          <w:p w:rsidR="007A378A" w:rsidRDefault="007A378A" w:rsidP="00610469">
            <w:pPr>
              <w:pStyle w:val="Body"/>
              <w:jc w:val="center"/>
            </w:pPr>
            <w:r>
              <w:t>£1.6M</w:t>
            </w:r>
          </w:p>
        </w:tc>
      </w:tr>
      <w:tr w:rsidR="007A378A" w:rsidTr="00610469">
        <w:tc>
          <w:tcPr>
            <w:tcW w:w="1751" w:type="dxa"/>
            <w:vMerge/>
            <w:vAlign w:val="center"/>
          </w:tcPr>
          <w:p w:rsidR="007A378A" w:rsidRDefault="007A378A" w:rsidP="00C97B7E">
            <w:pPr>
              <w:pStyle w:val="Body"/>
            </w:pPr>
          </w:p>
        </w:tc>
        <w:tc>
          <w:tcPr>
            <w:tcW w:w="1751" w:type="dxa"/>
          </w:tcPr>
          <w:p w:rsidR="007A378A" w:rsidRDefault="007A378A" w:rsidP="00970703">
            <w:pPr>
              <w:pStyle w:val="Body"/>
            </w:pPr>
            <w:r>
              <w:t>Bored Tunnel</w:t>
            </w:r>
          </w:p>
        </w:tc>
        <w:tc>
          <w:tcPr>
            <w:tcW w:w="2589" w:type="dxa"/>
          </w:tcPr>
          <w:p w:rsidR="007A378A" w:rsidRDefault="007A378A" w:rsidP="00610469">
            <w:pPr>
              <w:pStyle w:val="Body"/>
              <w:jc w:val="center"/>
            </w:pPr>
            <w:r>
              <w:t>£1.7M</w:t>
            </w:r>
          </w:p>
        </w:tc>
      </w:tr>
      <w:tr w:rsidR="007A378A" w:rsidTr="00610469">
        <w:tc>
          <w:tcPr>
            <w:tcW w:w="1751" w:type="dxa"/>
            <w:vMerge w:val="restart"/>
            <w:vAlign w:val="center"/>
          </w:tcPr>
          <w:p w:rsidR="007A378A" w:rsidRDefault="007A378A" w:rsidP="00C97B7E">
            <w:pPr>
              <w:pStyle w:val="Body"/>
            </w:pPr>
            <w:r>
              <w:t>Option C</w:t>
            </w:r>
          </w:p>
        </w:tc>
        <w:tc>
          <w:tcPr>
            <w:tcW w:w="1751" w:type="dxa"/>
          </w:tcPr>
          <w:p w:rsidR="007A378A" w:rsidRDefault="007A378A" w:rsidP="00970703">
            <w:pPr>
              <w:pStyle w:val="Body"/>
            </w:pPr>
            <w:r>
              <w:t>Bridge</w:t>
            </w:r>
          </w:p>
        </w:tc>
        <w:tc>
          <w:tcPr>
            <w:tcW w:w="2589" w:type="dxa"/>
          </w:tcPr>
          <w:p w:rsidR="007A378A" w:rsidRDefault="007A378A" w:rsidP="00610469">
            <w:pPr>
              <w:pStyle w:val="Body"/>
              <w:jc w:val="center"/>
            </w:pPr>
            <w:r>
              <w:t>£2.8M</w:t>
            </w:r>
          </w:p>
        </w:tc>
      </w:tr>
      <w:tr w:rsidR="007A378A" w:rsidTr="00610469">
        <w:tc>
          <w:tcPr>
            <w:tcW w:w="1751" w:type="dxa"/>
            <w:vMerge/>
          </w:tcPr>
          <w:p w:rsidR="007A378A" w:rsidRDefault="007A378A" w:rsidP="00970703">
            <w:pPr>
              <w:pStyle w:val="Body"/>
            </w:pPr>
          </w:p>
        </w:tc>
        <w:tc>
          <w:tcPr>
            <w:tcW w:w="1751" w:type="dxa"/>
          </w:tcPr>
          <w:p w:rsidR="007A378A" w:rsidRDefault="007A378A" w:rsidP="00970703">
            <w:pPr>
              <w:pStyle w:val="Body"/>
            </w:pPr>
            <w:r>
              <w:t>Immersed Tunnel</w:t>
            </w:r>
          </w:p>
        </w:tc>
        <w:tc>
          <w:tcPr>
            <w:tcW w:w="2589" w:type="dxa"/>
          </w:tcPr>
          <w:p w:rsidR="007A378A" w:rsidRDefault="007A378A" w:rsidP="00610469">
            <w:pPr>
              <w:pStyle w:val="Body"/>
              <w:jc w:val="center"/>
            </w:pPr>
            <w:r>
              <w:t>£4.2M</w:t>
            </w:r>
          </w:p>
        </w:tc>
      </w:tr>
      <w:tr w:rsidR="007A378A" w:rsidTr="00610469">
        <w:tc>
          <w:tcPr>
            <w:tcW w:w="1751" w:type="dxa"/>
            <w:vMerge/>
          </w:tcPr>
          <w:p w:rsidR="007A378A" w:rsidRDefault="007A378A" w:rsidP="00970703">
            <w:pPr>
              <w:pStyle w:val="Body"/>
            </w:pPr>
          </w:p>
        </w:tc>
        <w:tc>
          <w:tcPr>
            <w:tcW w:w="1751" w:type="dxa"/>
          </w:tcPr>
          <w:p w:rsidR="007A378A" w:rsidRDefault="007A378A" w:rsidP="00970703">
            <w:pPr>
              <w:pStyle w:val="Body"/>
            </w:pPr>
            <w:r>
              <w:t>Bored Tunnel</w:t>
            </w:r>
          </w:p>
        </w:tc>
        <w:tc>
          <w:tcPr>
            <w:tcW w:w="2589" w:type="dxa"/>
          </w:tcPr>
          <w:p w:rsidR="007A378A" w:rsidRDefault="007A378A" w:rsidP="00610469">
            <w:pPr>
              <w:pStyle w:val="Body"/>
              <w:jc w:val="center"/>
            </w:pPr>
            <w:r>
              <w:t>£4.2M</w:t>
            </w:r>
          </w:p>
        </w:tc>
      </w:tr>
      <w:tr w:rsidR="007A378A" w:rsidTr="00610469">
        <w:tc>
          <w:tcPr>
            <w:tcW w:w="3502" w:type="dxa"/>
            <w:gridSpan w:val="2"/>
          </w:tcPr>
          <w:p w:rsidR="007A378A" w:rsidRDefault="007A378A" w:rsidP="00970703">
            <w:pPr>
              <w:pStyle w:val="Body"/>
            </w:pPr>
            <w:r>
              <w:t>C Variant</w:t>
            </w:r>
          </w:p>
        </w:tc>
        <w:tc>
          <w:tcPr>
            <w:tcW w:w="2589" w:type="dxa"/>
          </w:tcPr>
          <w:p w:rsidR="007A378A" w:rsidRDefault="007A378A" w:rsidP="00610469">
            <w:pPr>
              <w:pStyle w:val="Body"/>
              <w:jc w:val="center"/>
            </w:pPr>
            <w:r>
              <w:t>£0.9M</w:t>
            </w:r>
          </w:p>
        </w:tc>
      </w:tr>
    </w:tbl>
    <w:p w:rsidR="002C3D96" w:rsidRPr="002C3D96" w:rsidRDefault="00EF3296" w:rsidP="002C3D96">
      <w:pPr>
        <w:pStyle w:val="Para3"/>
        <w:numPr>
          <w:ilvl w:val="0"/>
          <w:numId w:val="0"/>
        </w:numPr>
        <w:ind w:left="680"/>
        <w:rPr>
          <w:i w:val="0"/>
          <w:sz w:val="16"/>
          <w:szCs w:val="20"/>
        </w:rPr>
      </w:pPr>
      <w:r w:rsidRPr="00EF3296">
        <w:rPr>
          <w:i w:val="0"/>
          <w:sz w:val="16"/>
          <w:szCs w:val="20"/>
        </w:rPr>
        <w:t xml:space="preserve">Note: Costs exclude VAT on the </w:t>
      </w:r>
      <w:r w:rsidR="00820039" w:rsidRPr="00820039">
        <w:rPr>
          <w:i w:val="0"/>
          <w:sz w:val="16"/>
          <w:szCs w:val="20"/>
        </w:rPr>
        <w:t>basis that the works will be on existing highway land</w:t>
      </w:r>
    </w:p>
    <w:p w:rsidR="007A378A" w:rsidRDefault="007A378A" w:rsidP="00F96876">
      <w:pPr>
        <w:pStyle w:val="Body"/>
      </w:pPr>
    </w:p>
    <w:p w:rsidR="00302E0C" w:rsidRDefault="007A378A">
      <w:pPr>
        <w:pStyle w:val="Para3"/>
        <w:numPr>
          <w:ilvl w:val="2"/>
          <w:numId w:val="10"/>
        </w:numPr>
        <w:tabs>
          <w:tab w:val="clear" w:pos="1440"/>
          <w:tab w:val="num" w:pos="709"/>
        </w:tabs>
        <w:rPr>
          <w:i w:val="0"/>
          <w:sz w:val="20"/>
          <w:szCs w:val="20"/>
        </w:rPr>
      </w:pPr>
      <w:r>
        <w:rPr>
          <w:i w:val="0"/>
          <w:sz w:val="20"/>
          <w:szCs w:val="20"/>
        </w:rPr>
        <w:t xml:space="preserve">Based on our benchmarking of these cost rates we would expect costs to be within a range of </w:t>
      </w:r>
      <w:r w:rsidRPr="00AF0603">
        <w:rPr>
          <w:i w:val="0"/>
          <w:sz w:val="20"/>
          <w:szCs w:val="20"/>
        </w:rPr>
        <w:t>±</w:t>
      </w:r>
      <w:r>
        <w:rPr>
          <w:i w:val="0"/>
          <w:sz w:val="20"/>
          <w:szCs w:val="20"/>
        </w:rPr>
        <w:t xml:space="preserve">30% of these estimates.  These costs mainly reflect capital costs and we would therefore assume that they would increase over time in line with the construction cost prices. </w:t>
      </w:r>
    </w:p>
    <w:p w:rsidR="007A378A" w:rsidRDefault="007A378A" w:rsidP="00F96876">
      <w:pPr>
        <w:pStyle w:val="Body"/>
      </w:pPr>
    </w:p>
    <w:p w:rsidR="007A378A" w:rsidRPr="001279C6" w:rsidRDefault="007A378A" w:rsidP="00F96876">
      <w:pPr>
        <w:pStyle w:val="Body"/>
        <w:rPr>
          <w:sz w:val="20"/>
          <w:szCs w:val="20"/>
        </w:rPr>
        <w:sectPr w:rsidR="007A378A" w:rsidRPr="001279C6" w:rsidSect="007323AF">
          <w:headerReference w:type="default" r:id="rId23"/>
          <w:pgSz w:w="11907" w:h="16840" w:code="9"/>
          <w:pgMar w:top="-1985" w:right="709" w:bottom="1729" w:left="907" w:header="357" w:footer="567" w:gutter="0"/>
          <w:cols w:space="187"/>
          <w:docGrid w:linePitch="360"/>
        </w:sectPr>
      </w:pPr>
    </w:p>
    <w:p w:rsidR="007A378A" w:rsidRPr="001279C6" w:rsidRDefault="007A378A" w:rsidP="00137384">
      <w:pPr>
        <w:pStyle w:val="SecDivider"/>
      </w:pPr>
      <w:r>
        <w:lastRenderedPageBreak/>
        <w:t>Revenue Collection Costs</w:t>
      </w:r>
    </w:p>
    <w:p w:rsidR="007A378A" w:rsidRPr="001279C6" w:rsidRDefault="007A378A" w:rsidP="00F96876">
      <w:pPr>
        <w:pStyle w:val="SecDividerBody"/>
        <w:rPr>
          <w:sz w:val="20"/>
          <w:szCs w:val="20"/>
        </w:rPr>
      </w:pPr>
    </w:p>
    <w:p w:rsidR="007A378A" w:rsidRPr="001279C6" w:rsidRDefault="007A378A" w:rsidP="00F96876">
      <w:pPr>
        <w:pStyle w:val="Body"/>
        <w:rPr>
          <w:sz w:val="20"/>
          <w:szCs w:val="20"/>
        </w:rPr>
      </w:pPr>
    </w:p>
    <w:p w:rsidR="007A378A" w:rsidRPr="001279C6" w:rsidRDefault="007A378A" w:rsidP="00F96876">
      <w:pPr>
        <w:pStyle w:val="Body"/>
        <w:rPr>
          <w:sz w:val="20"/>
          <w:szCs w:val="20"/>
        </w:rPr>
        <w:sectPr w:rsidR="007A378A" w:rsidRPr="001279C6" w:rsidSect="007323AF">
          <w:headerReference w:type="default" r:id="rId24"/>
          <w:footerReference w:type="default" r:id="rId25"/>
          <w:pgSz w:w="11907" w:h="16840" w:code="9"/>
          <w:pgMar w:top="-3640" w:right="709" w:bottom="1729" w:left="6146" w:header="357" w:footer="567" w:gutter="0"/>
          <w:cols w:space="720"/>
          <w:docGrid w:linePitch="360"/>
        </w:sectPr>
      </w:pPr>
    </w:p>
    <w:p w:rsidR="007A378A" w:rsidRPr="001279C6" w:rsidRDefault="007A378A" w:rsidP="00612B81">
      <w:pPr>
        <w:pStyle w:val="Hdg1"/>
        <w:framePr w:wrap="notBeside" w:hAnchor="page" w:x="857" w:y="1577"/>
        <w:numPr>
          <w:ilvl w:val="0"/>
          <w:numId w:val="10"/>
        </w:numPr>
      </w:pPr>
      <w:bookmarkStart w:id="43" w:name="_Toc341694617"/>
      <w:bookmarkStart w:id="44" w:name="_Toc332643897"/>
      <w:bookmarkStart w:id="45" w:name="_Toc332644069"/>
      <w:r>
        <w:lastRenderedPageBreak/>
        <w:t>Revenue Collection Costs</w:t>
      </w:r>
      <w:bookmarkEnd w:id="43"/>
    </w:p>
    <w:p w:rsidR="007A378A" w:rsidRPr="00901D7B" w:rsidRDefault="007A378A" w:rsidP="00E65957">
      <w:pPr>
        <w:pStyle w:val="Hdg2"/>
        <w:numPr>
          <w:ilvl w:val="1"/>
          <w:numId w:val="10"/>
        </w:numPr>
        <w:spacing w:after="120"/>
        <w:rPr>
          <w:sz w:val="20"/>
          <w:szCs w:val="20"/>
        </w:rPr>
      </w:pPr>
      <w:bookmarkStart w:id="46" w:name="_Toc341694618"/>
      <w:r w:rsidRPr="00901D7B">
        <w:rPr>
          <w:sz w:val="20"/>
          <w:szCs w:val="20"/>
        </w:rPr>
        <w:t>Introduction</w:t>
      </w:r>
      <w:bookmarkEnd w:id="44"/>
      <w:bookmarkEnd w:id="45"/>
      <w:bookmarkEnd w:id="46"/>
    </w:p>
    <w:p w:rsidR="00302E0C" w:rsidRDefault="007A378A">
      <w:pPr>
        <w:pStyle w:val="Para3"/>
        <w:numPr>
          <w:ilvl w:val="2"/>
          <w:numId w:val="10"/>
        </w:numPr>
        <w:tabs>
          <w:tab w:val="clear" w:pos="1440"/>
          <w:tab w:val="num" w:pos="709"/>
        </w:tabs>
        <w:rPr>
          <w:i w:val="0"/>
          <w:sz w:val="20"/>
          <w:szCs w:val="20"/>
        </w:rPr>
      </w:pPr>
      <w:r w:rsidRPr="0039632B">
        <w:rPr>
          <w:i w:val="0"/>
          <w:sz w:val="20"/>
          <w:szCs w:val="20"/>
        </w:rPr>
        <w:t>The operation of free</w:t>
      </w:r>
      <w:r w:rsidR="00AF0603">
        <w:rPr>
          <w:i w:val="0"/>
          <w:sz w:val="20"/>
          <w:szCs w:val="20"/>
        </w:rPr>
        <w:t>-</w:t>
      </w:r>
      <w:r w:rsidRPr="0039632B">
        <w:rPr>
          <w:i w:val="0"/>
          <w:sz w:val="20"/>
          <w:szCs w:val="20"/>
        </w:rPr>
        <w:t xml:space="preserve">flow tolling is achieved through mechanisms to detect, invoice and collect money from users. There are a range of technologies and procedures that can be applied for these operations and detailed decisions on the method of implementation will affect the costs.  For our strategic </w:t>
      </w:r>
      <w:r>
        <w:rPr>
          <w:i w:val="0"/>
          <w:sz w:val="20"/>
          <w:szCs w:val="20"/>
        </w:rPr>
        <w:t xml:space="preserve">study </w:t>
      </w:r>
      <w:r w:rsidRPr="0039632B">
        <w:rPr>
          <w:i w:val="0"/>
          <w:sz w:val="20"/>
          <w:szCs w:val="20"/>
        </w:rPr>
        <w:t xml:space="preserve">objectives, therefore, we have considered the broad requirements of these activities and applied benchmark evidence to indicate cost ranges. </w:t>
      </w:r>
      <w:r>
        <w:rPr>
          <w:i w:val="0"/>
          <w:sz w:val="20"/>
          <w:szCs w:val="20"/>
        </w:rPr>
        <w:t xml:space="preserve">We have assumed a single process covering existing and new crossings. </w:t>
      </w:r>
      <w:r w:rsidRPr="0039632B">
        <w:rPr>
          <w:i w:val="0"/>
          <w:sz w:val="20"/>
          <w:szCs w:val="20"/>
        </w:rPr>
        <w:t>We discuss the key stages in turn below.</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Except where stated otherwise, monetary values </w:t>
      </w:r>
      <w:r>
        <w:rPr>
          <w:i w:val="0"/>
          <w:sz w:val="20"/>
          <w:szCs w:val="20"/>
        </w:rPr>
        <w:t xml:space="preserve">in this </w:t>
      </w:r>
      <w:r w:rsidR="00AF0603">
        <w:rPr>
          <w:i w:val="0"/>
          <w:sz w:val="20"/>
          <w:szCs w:val="20"/>
        </w:rPr>
        <w:t>c</w:t>
      </w:r>
      <w:r>
        <w:rPr>
          <w:i w:val="0"/>
          <w:sz w:val="20"/>
          <w:szCs w:val="20"/>
        </w:rPr>
        <w:t xml:space="preserve">hapter </w:t>
      </w:r>
      <w:r w:rsidRPr="0039632B">
        <w:rPr>
          <w:i w:val="0"/>
          <w:sz w:val="20"/>
          <w:szCs w:val="20"/>
        </w:rPr>
        <w:t>are quoted in 2010 prices</w:t>
      </w:r>
      <w:r w:rsidR="00AF0603">
        <w:rPr>
          <w:i w:val="0"/>
          <w:sz w:val="20"/>
          <w:szCs w:val="20"/>
        </w:rPr>
        <w:t>, excluding VAT</w:t>
      </w:r>
      <w:r w:rsidRPr="0039632B">
        <w:rPr>
          <w:i w:val="0"/>
          <w:sz w:val="20"/>
          <w:szCs w:val="20"/>
        </w:rPr>
        <w:t xml:space="preserve">. </w:t>
      </w:r>
    </w:p>
    <w:p w:rsidR="007A378A" w:rsidRDefault="007A378A">
      <w:pPr>
        <w:pStyle w:val="ListParagraph"/>
      </w:pPr>
    </w:p>
    <w:p w:rsidR="007A378A" w:rsidRPr="00901D7B" w:rsidRDefault="007A378A" w:rsidP="0039632B">
      <w:pPr>
        <w:pStyle w:val="Hdg2"/>
        <w:numPr>
          <w:ilvl w:val="1"/>
          <w:numId w:val="10"/>
        </w:numPr>
        <w:spacing w:after="120"/>
        <w:rPr>
          <w:sz w:val="20"/>
          <w:szCs w:val="20"/>
        </w:rPr>
      </w:pPr>
      <w:bookmarkStart w:id="47" w:name="_Toc341694619"/>
      <w:r>
        <w:rPr>
          <w:sz w:val="20"/>
          <w:szCs w:val="20"/>
        </w:rPr>
        <w:t>Sources</w:t>
      </w:r>
      <w:bookmarkEnd w:id="47"/>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Some estimates of aspect associated with cost of </w:t>
      </w:r>
      <w:r w:rsidR="00AF0603">
        <w:rPr>
          <w:i w:val="0"/>
          <w:sz w:val="20"/>
          <w:szCs w:val="20"/>
        </w:rPr>
        <w:t xml:space="preserve">analogous </w:t>
      </w:r>
      <w:r w:rsidRPr="0039632B">
        <w:rPr>
          <w:i w:val="0"/>
          <w:sz w:val="20"/>
          <w:szCs w:val="20"/>
        </w:rPr>
        <w:t xml:space="preserve">schemes were made during work undertaken by AECOM for the Irish National Roads Authority (NRA) based on assessing several existing </w:t>
      </w:r>
      <w:r w:rsidR="00AF0603">
        <w:rPr>
          <w:i w:val="0"/>
          <w:sz w:val="20"/>
          <w:szCs w:val="20"/>
        </w:rPr>
        <w:t>free-flow</w:t>
      </w:r>
      <w:r w:rsidRPr="0039632B">
        <w:rPr>
          <w:i w:val="0"/>
          <w:sz w:val="20"/>
          <w:szCs w:val="20"/>
        </w:rPr>
        <w:t xml:space="preserve"> tolling schemes.</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The cost of operating the free</w:t>
      </w:r>
      <w:r w:rsidR="00AF0603">
        <w:rPr>
          <w:i w:val="0"/>
          <w:sz w:val="20"/>
          <w:szCs w:val="20"/>
        </w:rPr>
        <w:t>-</w:t>
      </w:r>
      <w:r w:rsidRPr="0039632B">
        <w:rPr>
          <w:i w:val="0"/>
          <w:sz w:val="20"/>
          <w:szCs w:val="20"/>
        </w:rPr>
        <w:t xml:space="preserve">flow tolling scheme on the existing crossing has previously been estimated as part of the appraisal of that scheme, in “Dartford Free-Flow Charging Project: Outline Business Case”, dated May 2012. </w:t>
      </w:r>
    </w:p>
    <w:p w:rsidR="007A378A" w:rsidRDefault="007A378A">
      <w:pPr>
        <w:pStyle w:val="Body"/>
        <w:rPr>
          <w:i/>
        </w:rPr>
      </w:pPr>
    </w:p>
    <w:p w:rsidR="007A378A" w:rsidRPr="00901D7B" w:rsidRDefault="007A378A" w:rsidP="0039632B">
      <w:pPr>
        <w:pStyle w:val="Hdg2"/>
        <w:numPr>
          <w:ilvl w:val="1"/>
          <w:numId w:val="10"/>
        </w:numPr>
        <w:spacing w:after="120"/>
        <w:rPr>
          <w:sz w:val="20"/>
          <w:szCs w:val="20"/>
        </w:rPr>
      </w:pPr>
      <w:bookmarkStart w:id="48" w:name="_Toc341694620"/>
      <w:r>
        <w:rPr>
          <w:sz w:val="20"/>
          <w:szCs w:val="20"/>
        </w:rPr>
        <w:t>Detection and Debtor Identification</w:t>
      </w:r>
      <w:bookmarkEnd w:id="48"/>
    </w:p>
    <w:p w:rsidR="00302E0C" w:rsidRDefault="007A378A">
      <w:pPr>
        <w:pStyle w:val="Para3"/>
        <w:numPr>
          <w:ilvl w:val="2"/>
          <w:numId w:val="10"/>
        </w:numPr>
        <w:tabs>
          <w:tab w:val="clear" w:pos="1440"/>
          <w:tab w:val="num" w:pos="709"/>
        </w:tabs>
        <w:rPr>
          <w:i w:val="0"/>
          <w:sz w:val="20"/>
          <w:szCs w:val="20"/>
        </w:rPr>
      </w:pPr>
      <w:r w:rsidRPr="0039632B">
        <w:rPr>
          <w:i w:val="0"/>
          <w:sz w:val="20"/>
          <w:szCs w:val="20"/>
        </w:rPr>
        <w:t>This involves procedures to identify the vehicle and registered owner. Detection can be based on electronic devices mounted in the car using a range of technologies. However, unless some form of manual toll plaza is operated or unregistered users are prohibited from using the scheme, some means are additionally required to identify the vehicles</w:t>
      </w:r>
      <w:r>
        <w:rPr>
          <w:i w:val="0"/>
          <w:sz w:val="20"/>
          <w:szCs w:val="20"/>
        </w:rPr>
        <w:t xml:space="preserve">. We have assumed that these </w:t>
      </w:r>
      <w:r w:rsidRPr="0039632B">
        <w:rPr>
          <w:i w:val="0"/>
          <w:sz w:val="20"/>
          <w:szCs w:val="20"/>
        </w:rPr>
        <w:t>would be through the use of Automatic Number Plate Recognition (ANPR). Indeed, with the installation of ANPR cameras, there might be limited value in additionally using separate electronic devices to recognise specific vehicles.</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Procedures for </w:t>
      </w:r>
      <w:r>
        <w:rPr>
          <w:i w:val="0"/>
          <w:sz w:val="20"/>
          <w:szCs w:val="20"/>
        </w:rPr>
        <w:t xml:space="preserve">identification for </w:t>
      </w:r>
      <w:r w:rsidRPr="0039632B">
        <w:rPr>
          <w:i w:val="0"/>
          <w:sz w:val="20"/>
          <w:szCs w:val="20"/>
        </w:rPr>
        <w:t>payment enforc</w:t>
      </w:r>
      <w:r>
        <w:rPr>
          <w:i w:val="0"/>
          <w:sz w:val="20"/>
          <w:szCs w:val="20"/>
        </w:rPr>
        <w:t xml:space="preserve">ement </w:t>
      </w:r>
      <w:r w:rsidRPr="0039632B">
        <w:rPr>
          <w:i w:val="0"/>
          <w:sz w:val="20"/>
          <w:szCs w:val="20"/>
        </w:rPr>
        <w:t xml:space="preserve">from number plates are well established through, for example, the parking industry and for the London Congestion Charge. </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However character recognition methods used by ANPR cameras </w:t>
      </w:r>
      <w:r>
        <w:rPr>
          <w:i w:val="0"/>
          <w:sz w:val="20"/>
          <w:szCs w:val="20"/>
        </w:rPr>
        <w:t>are</w:t>
      </w:r>
      <w:r w:rsidRPr="0039632B">
        <w:rPr>
          <w:i w:val="0"/>
          <w:sz w:val="20"/>
          <w:szCs w:val="20"/>
        </w:rPr>
        <w:t xml:space="preserve"> insufficiently reliable to act as the sole identifier of vehicles, and some manual processing will therefore be required. The extent and costs will depend on a range of factors, but given the unacceptability of incorrect invoicing, the manual checking required is likely to be </w:t>
      </w:r>
      <w:r>
        <w:rPr>
          <w:i w:val="0"/>
          <w:sz w:val="20"/>
          <w:szCs w:val="20"/>
        </w:rPr>
        <w:t>required for a substantial proportion of vehicles using the crossing</w:t>
      </w:r>
      <w:r w:rsidRPr="0039632B">
        <w:rPr>
          <w:i w:val="0"/>
          <w:sz w:val="20"/>
          <w:szCs w:val="20"/>
        </w:rPr>
        <w:t>.</w:t>
      </w:r>
    </w:p>
    <w:p w:rsidR="00302E0C" w:rsidRDefault="007A378A">
      <w:pPr>
        <w:pStyle w:val="Para3"/>
        <w:numPr>
          <w:ilvl w:val="2"/>
          <w:numId w:val="10"/>
        </w:numPr>
        <w:tabs>
          <w:tab w:val="clear" w:pos="1440"/>
          <w:tab w:val="num" w:pos="709"/>
        </w:tabs>
        <w:rPr>
          <w:i w:val="0"/>
          <w:sz w:val="20"/>
          <w:szCs w:val="20"/>
        </w:rPr>
      </w:pPr>
      <w:r>
        <w:rPr>
          <w:i w:val="0"/>
          <w:sz w:val="20"/>
          <w:szCs w:val="20"/>
        </w:rPr>
        <w:t>T</w:t>
      </w:r>
      <w:r w:rsidRPr="0039632B">
        <w:rPr>
          <w:i w:val="0"/>
          <w:sz w:val="20"/>
          <w:szCs w:val="20"/>
        </w:rPr>
        <w:t xml:space="preserve">he </w:t>
      </w:r>
      <w:r w:rsidR="00AF0603">
        <w:rPr>
          <w:i w:val="0"/>
          <w:sz w:val="20"/>
          <w:szCs w:val="20"/>
        </w:rPr>
        <w:t>f</w:t>
      </w:r>
      <w:r w:rsidRPr="0039632B">
        <w:rPr>
          <w:i w:val="0"/>
          <w:sz w:val="20"/>
          <w:szCs w:val="20"/>
        </w:rPr>
        <w:t>ree-</w:t>
      </w:r>
      <w:r w:rsidR="00AF0603">
        <w:rPr>
          <w:i w:val="0"/>
          <w:sz w:val="20"/>
          <w:szCs w:val="20"/>
        </w:rPr>
        <w:t>f</w:t>
      </w:r>
      <w:r w:rsidRPr="0039632B">
        <w:rPr>
          <w:i w:val="0"/>
          <w:sz w:val="20"/>
          <w:szCs w:val="20"/>
        </w:rPr>
        <w:t xml:space="preserve">low </w:t>
      </w:r>
      <w:r w:rsidR="00AF0603">
        <w:rPr>
          <w:i w:val="0"/>
          <w:sz w:val="20"/>
          <w:szCs w:val="20"/>
        </w:rPr>
        <w:t>c</w:t>
      </w:r>
      <w:r w:rsidRPr="0039632B">
        <w:rPr>
          <w:i w:val="0"/>
          <w:sz w:val="20"/>
          <w:szCs w:val="20"/>
        </w:rPr>
        <w:t xml:space="preserve">harging </w:t>
      </w:r>
      <w:r>
        <w:rPr>
          <w:i w:val="0"/>
          <w:sz w:val="20"/>
          <w:szCs w:val="20"/>
        </w:rPr>
        <w:t xml:space="preserve">business case estimated an annual maintenance cost of about </w:t>
      </w:r>
      <w:r w:rsidRPr="0039632B">
        <w:rPr>
          <w:i w:val="0"/>
          <w:sz w:val="20"/>
          <w:szCs w:val="20"/>
        </w:rPr>
        <w:t>£</w:t>
      </w:r>
      <w:r>
        <w:rPr>
          <w:i w:val="0"/>
          <w:sz w:val="20"/>
          <w:szCs w:val="20"/>
        </w:rPr>
        <w:t>5</w:t>
      </w:r>
      <w:r w:rsidRPr="0039632B">
        <w:rPr>
          <w:i w:val="0"/>
          <w:sz w:val="20"/>
          <w:szCs w:val="20"/>
        </w:rPr>
        <w:t xml:space="preserve">.5 million </w:t>
      </w:r>
      <w:r>
        <w:rPr>
          <w:i w:val="0"/>
          <w:sz w:val="20"/>
          <w:szCs w:val="20"/>
        </w:rPr>
        <w:t>for detection equipment</w:t>
      </w:r>
      <w:r w:rsidRPr="0039632B">
        <w:rPr>
          <w:i w:val="0"/>
          <w:sz w:val="20"/>
          <w:szCs w:val="20"/>
        </w:rPr>
        <w:t xml:space="preserve">. </w:t>
      </w:r>
      <w:r>
        <w:rPr>
          <w:i w:val="0"/>
          <w:sz w:val="20"/>
          <w:szCs w:val="20"/>
        </w:rPr>
        <w:t>Given the additional capacity is assumed to be approximately half the existing capacity (two lanes rather than four) the additional maintenance cost might be expected to be between £2m and £3m per annum. Currently there are over 40 million vehicles using the crossing during charged daytime hours, which is forecast to increase to about 50m without additional capacity and about 70m with an additional crossing. This implies that the detection equipment maintenance cost could be about 11p per transaction</w:t>
      </w:r>
      <w:r w:rsidRPr="0039632B">
        <w:rPr>
          <w:i w:val="0"/>
          <w:sz w:val="20"/>
          <w:szCs w:val="20"/>
        </w:rPr>
        <w:t xml:space="preserve"> </w:t>
      </w:r>
    </w:p>
    <w:p w:rsidR="00302E0C" w:rsidRDefault="007A378A">
      <w:pPr>
        <w:pStyle w:val="Para3"/>
        <w:numPr>
          <w:ilvl w:val="2"/>
          <w:numId w:val="10"/>
        </w:numPr>
        <w:tabs>
          <w:tab w:val="clear" w:pos="1440"/>
          <w:tab w:val="num" w:pos="709"/>
        </w:tabs>
        <w:rPr>
          <w:i w:val="0"/>
          <w:sz w:val="20"/>
          <w:szCs w:val="20"/>
        </w:rPr>
      </w:pPr>
      <w:r>
        <w:rPr>
          <w:i w:val="0"/>
          <w:sz w:val="20"/>
          <w:szCs w:val="20"/>
        </w:rPr>
        <w:t xml:space="preserve">The cost of manual checking would depend on policy adopted in respect of the required invoicing </w:t>
      </w:r>
      <w:proofErr w:type="gramStart"/>
      <w:r>
        <w:rPr>
          <w:i w:val="0"/>
          <w:sz w:val="20"/>
          <w:szCs w:val="20"/>
        </w:rPr>
        <w:t>accuracy,</w:t>
      </w:r>
      <w:proofErr w:type="gramEnd"/>
      <w:r>
        <w:rPr>
          <w:i w:val="0"/>
          <w:sz w:val="20"/>
          <w:szCs w:val="20"/>
        </w:rPr>
        <w:t xml:space="preserve"> in part this is reflecting the costs of appeals procedures and in part reflecting customer perceptions and reputation. The available evidence shows considerable variation in different locations and for costing purposes we have made central assumptions from the evidence available to us that: </w:t>
      </w:r>
    </w:p>
    <w:p w:rsidR="00302E0C" w:rsidRDefault="00EF3296">
      <w:pPr>
        <w:pStyle w:val="Para3"/>
        <w:numPr>
          <w:ilvl w:val="0"/>
          <w:numId w:val="13"/>
        </w:numPr>
      </w:pPr>
      <w:r w:rsidRPr="00EF3296">
        <w:rPr>
          <w:i w:val="0"/>
          <w:sz w:val="20"/>
          <w:szCs w:val="20"/>
        </w:rPr>
        <w:t>50% of transactions will require manual verification;</w:t>
      </w:r>
    </w:p>
    <w:p w:rsidR="00302E0C" w:rsidRDefault="00EF3296">
      <w:pPr>
        <w:pStyle w:val="Para3"/>
        <w:numPr>
          <w:ilvl w:val="0"/>
          <w:numId w:val="13"/>
        </w:numPr>
      </w:pPr>
      <w:r w:rsidRPr="00EF3296">
        <w:rPr>
          <w:i w:val="0"/>
          <w:sz w:val="20"/>
          <w:szCs w:val="20"/>
        </w:rPr>
        <w:t>about 60,000 number plate photographs can be processed per full-time employee per month;</w:t>
      </w:r>
    </w:p>
    <w:p w:rsidR="00302E0C" w:rsidRDefault="00EF3296">
      <w:pPr>
        <w:pStyle w:val="Para3"/>
        <w:numPr>
          <w:ilvl w:val="0"/>
          <w:numId w:val="13"/>
        </w:numPr>
      </w:pPr>
      <w:r w:rsidRPr="00EF3296">
        <w:rPr>
          <w:i w:val="0"/>
          <w:sz w:val="20"/>
          <w:szCs w:val="20"/>
        </w:rPr>
        <w:t>allowing for overheads / management / etc total annual cost of each employee would be about £30k; and</w:t>
      </w:r>
    </w:p>
    <w:p w:rsidR="00302E0C" w:rsidRDefault="00EF3296">
      <w:pPr>
        <w:pStyle w:val="Para3"/>
        <w:numPr>
          <w:ilvl w:val="0"/>
          <w:numId w:val="13"/>
        </w:numPr>
      </w:pPr>
      <w:proofErr w:type="gramStart"/>
      <w:r w:rsidRPr="00EF3296">
        <w:rPr>
          <w:i w:val="0"/>
          <w:sz w:val="20"/>
          <w:szCs w:val="20"/>
        </w:rPr>
        <w:lastRenderedPageBreak/>
        <w:t>an</w:t>
      </w:r>
      <w:proofErr w:type="gramEnd"/>
      <w:r w:rsidRPr="00EF3296">
        <w:rPr>
          <w:i w:val="0"/>
          <w:sz w:val="20"/>
          <w:szCs w:val="20"/>
        </w:rPr>
        <w:t xml:space="preserve"> average of 1.5 checks will be required to verify these transactions.</w:t>
      </w:r>
    </w:p>
    <w:p w:rsidR="007A378A" w:rsidRDefault="007A378A" w:rsidP="0039632B"/>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These </w:t>
      </w:r>
      <w:r>
        <w:rPr>
          <w:i w:val="0"/>
          <w:sz w:val="20"/>
          <w:szCs w:val="20"/>
        </w:rPr>
        <w:t xml:space="preserve">assumptions are consistent with the </w:t>
      </w:r>
      <w:r w:rsidR="00AF0603">
        <w:rPr>
          <w:i w:val="0"/>
          <w:sz w:val="20"/>
          <w:szCs w:val="20"/>
        </w:rPr>
        <w:t>f</w:t>
      </w:r>
      <w:r w:rsidRPr="0039632B">
        <w:rPr>
          <w:i w:val="0"/>
          <w:sz w:val="20"/>
          <w:szCs w:val="20"/>
        </w:rPr>
        <w:t>ree</w:t>
      </w:r>
      <w:r w:rsidR="00AF0603">
        <w:rPr>
          <w:i w:val="0"/>
          <w:sz w:val="20"/>
          <w:szCs w:val="20"/>
        </w:rPr>
        <w:t>-</w:t>
      </w:r>
      <w:r w:rsidRPr="0039632B">
        <w:rPr>
          <w:i w:val="0"/>
          <w:sz w:val="20"/>
          <w:szCs w:val="20"/>
        </w:rPr>
        <w:t>flow charging business case report</w:t>
      </w:r>
      <w:r>
        <w:rPr>
          <w:i w:val="0"/>
          <w:sz w:val="20"/>
          <w:szCs w:val="20"/>
        </w:rPr>
        <w:t xml:space="preserve">. Based on these assumptions we would estimate that the manual verification would cost about </w:t>
      </w:r>
      <w:r w:rsidRPr="0039632B">
        <w:rPr>
          <w:i w:val="0"/>
          <w:sz w:val="20"/>
          <w:szCs w:val="20"/>
        </w:rPr>
        <w:t>3 pence per transaction.</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Some vehicles will be unreadable; either because of equipment failure or because of obscured </w:t>
      </w:r>
      <w:r>
        <w:rPr>
          <w:i w:val="0"/>
          <w:sz w:val="20"/>
          <w:szCs w:val="20"/>
        </w:rPr>
        <w:t xml:space="preserve">number </w:t>
      </w:r>
      <w:r w:rsidRPr="0039632B">
        <w:rPr>
          <w:i w:val="0"/>
          <w:sz w:val="20"/>
          <w:szCs w:val="20"/>
        </w:rPr>
        <w:t>plates. These have been treated as reducing revenue</w:t>
      </w:r>
      <w:r>
        <w:rPr>
          <w:i w:val="0"/>
          <w:sz w:val="20"/>
          <w:szCs w:val="20"/>
        </w:rPr>
        <w:t xml:space="preserve"> (Chapter 4)</w:t>
      </w:r>
      <w:r w:rsidRPr="0039632B">
        <w:rPr>
          <w:i w:val="0"/>
          <w:sz w:val="20"/>
          <w:szCs w:val="20"/>
        </w:rPr>
        <w:t>, rather than increasing cost.</w:t>
      </w:r>
    </w:p>
    <w:p w:rsidR="007A378A" w:rsidRDefault="007A378A" w:rsidP="00F96876">
      <w:pPr>
        <w:pStyle w:val="Body"/>
        <w:rPr>
          <w:sz w:val="20"/>
          <w:szCs w:val="20"/>
        </w:rPr>
      </w:pPr>
    </w:p>
    <w:p w:rsidR="007A378A" w:rsidRPr="00901D7B" w:rsidRDefault="007A378A" w:rsidP="0039632B">
      <w:pPr>
        <w:pStyle w:val="Hdg2"/>
        <w:numPr>
          <w:ilvl w:val="1"/>
          <w:numId w:val="10"/>
        </w:numPr>
        <w:spacing w:after="120"/>
        <w:rPr>
          <w:sz w:val="20"/>
          <w:szCs w:val="20"/>
        </w:rPr>
      </w:pPr>
      <w:bookmarkStart w:id="49" w:name="_Toc341694621"/>
      <w:r>
        <w:rPr>
          <w:sz w:val="20"/>
          <w:szCs w:val="20"/>
        </w:rPr>
        <w:t>Payment</w:t>
      </w:r>
      <w:bookmarkEnd w:id="49"/>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There is a substantial difference in cost between different payment methods. Electronic transfer of funds typically costs a few pence per transaction. Payment by cheque or equivalent can incur costs in the region of £1, including </w:t>
      </w:r>
      <w:r>
        <w:rPr>
          <w:i w:val="0"/>
          <w:sz w:val="20"/>
          <w:szCs w:val="20"/>
        </w:rPr>
        <w:t xml:space="preserve">invoice </w:t>
      </w:r>
      <w:r w:rsidRPr="0039632B">
        <w:rPr>
          <w:i w:val="0"/>
          <w:sz w:val="20"/>
          <w:szCs w:val="20"/>
        </w:rPr>
        <w:t>postage</w:t>
      </w:r>
      <w:r>
        <w:rPr>
          <w:i w:val="0"/>
          <w:sz w:val="20"/>
          <w:szCs w:val="20"/>
        </w:rPr>
        <w:t>, etc</w:t>
      </w:r>
      <w:r w:rsidRPr="0039632B">
        <w:rPr>
          <w:i w:val="0"/>
          <w:sz w:val="20"/>
          <w:szCs w:val="20"/>
        </w:rPr>
        <w:t>. Where users register and provide bank</w:t>
      </w:r>
      <w:r>
        <w:rPr>
          <w:i w:val="0"/>
          <w:sz w:val="20"/>
          <w:szCs w:val="20"/>
        </w:rPr>
        <w:t xml:space="preserve">ing </w:t>
      </w:r>
      <w:r w:rsidRPr="0039632B">
        <w:rPr>
          <w:i w:val="0"/>
          <w:sz w:val="20"/>
          <w:szCs w:val="20"/>
        </w:rPr>
        <w:t>details, low cost automated</w:t>
      </w:r>
      <w:r>
        <w:rPr>
          <w:i w:val="0"/>
          <w:sz w:val="20"/>
          <w:szCs w:val="20"/>
        </w:rPr>
        <w:t>, electronic</w:t>
      </w:r>
      <w:r w:rsidRPr="0039632B">
        <w:rPr>
          <w:i w:val="0"/>
          <w:sz w:val="20"/>
          <w:szCs w:val="20"/>
        </w:rPr>
        <w:t xml:space="preserve"> payment and invoicing systems can be applied. However for unregistered users, where invoices must be posted, costs can be significantly higher.</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Accordingly, measures taken to encourage users to register in some way are likely to reduce net operating costs. Such measures would include the </w:t>
      </w:r>
      <w:proofErr w:type="gramStart"/>
      <w:r w:rsidRPr="0039632B">
        <w:rPr>
          <w:i w:val="0"/>
          <w:sz w:val="20"/>
          <w:szCs w:val="20"/>
        </w:rPr>
        <w:t>existing,</w:t>
      </w:r>
      <w:proofErr w:type="gramEnd"/>
      <w:r w:rsidRPr="0039632B">
        <w:rPr>
          <w:i w:val="0"/>
          <w:sz w:val="20"/>
          <w:szCs w:val="20"/>
        </w:rPr>
        <w:t xml:space="preserve"> or similar </w:t>
      </w:r>
      <w:proofErr w:type="spellStart"/>
      <w:r w:rsidRPr="0039632B">
        <w:rPr>
          <w:i w:val="0"/>
          <w:sz w:val="20"/>
          <w:szCs w:val="20"/>
        </w:rPr>
        <w:t>DartTAG</w:t>
      </w:r>
      <w:proofErr w:type="spellEnd"/>
      <w:r w:rsidRPr="0039632B">
        <w:rPr>
          <w:i w:val="0"/>
          <w:sz w:val="20"/>
          <w:szCs w:val="20"/>
        </w:rPr>
        <w:t xml:space="preserve"> scheme, but also may include web and call centre based facilities to allow users to register. There may also be consideration given to discount</w:t>
      </w:r>
      <w:r>
        <w:rPr>
          <w:i w:val="0"/>
          <w:sz w:val="20"/>
          <w:szCs w:val="20"/>
        </w:rPr>
        <w:t>ing</w:t>
      </w:r>
      <w:r w:rsidRPr="0039632B">
        <w:rPr>
          <w:i w:val="0"/>
          <w:sz w:val="20"/>
          <w:szCs w:val="20"/>
        </w:rPr>
        <w:t xml:space="preserve"> charges for registered users to provide an incentive.</w:t>
      </w:r>
      <w:r>
        <w:rPr>
          <w:i w:val="0"/>
          <w:sz w:val="20"/>
          <w:szCs w:val="20"/>
        </w:rPr>
        <w:t xml:space="preserve"> </w:t>
      </w:r>
    </w:p>
    <w:p w:rsidR="00302E0C" w:rsidRDefault="007A378A">
      <w:pPr>
        <w:pStyle w:val="Para3"/>
        <w:numPr>
          <w:ilvl w:val="2"/>
          <w:numId w:val="10"/>
        </w:numPr>
        <w:tabs>
          <w:tab w:val="clear" w:pos="1440"/>
          <w:tab w:val="num" w:pos="709"/>
        </w:tabs>
        <w:rPr>
          <w:i w:val="0"/>
          <w:sz w:val="20"/>
          <w:szCs w:val="20"/>
        </w:rPr>
      </w:pPr>
      <w:r>
        <w:rPr>
          <w:i w:val="0"/>
          <w:sz w:val="20"/>
          <w:szCs w:val="20"/>
        </w:rPr>
        <w:t>Evidence from free</w:t>
      </w:r>
      <w:r w:rsidR="00AF0603">
        <w:rPr>
          <w:i w:val="0"/>
          <w:sz w:val="20"/>
          <w:szCs w:val="20"/>
        </w:rPr>
        <w:t>-</w:t>
      </w:r>
      <w:r>
        <w:rPr>
          <w:i w:val="0"/>
          <w:sz w:val="20"/>
          <w:szCs w:val="20"/>
        </w:rPr>
        <w:t>flow tolling operations indicate that</w:t>
      </w:r>
      <w:r w:rsidRPr="0039632B">
        <w:rPr>
          <w:i w:val="0"/>
          <w:sz w:val="20"/>
          <w:szCs w:val="20"/>
        </w:rPr>
        <w:t>:</w:t>
      </w:r>
    </w:p>
    <w:p w:rsidR="00302E0C" w:rsidRDefault="00EF3296">
      <w:pPr>
        <w:pStyle w:val="Para3"/>
        <w:numPr>
          <w:ilvl w:val="0"/>
          <w:numId w:val="13"/>
        </w:numPr>
      </w:pPr>
      <w:r w:rsidRPr="00EF3296">
        <w:rPr>
          <w:i w:val="0"/>
          <w:sz w:val="20"/>
          <w:szCs w:val="20"/>
        </w:rPr>
        <w:t xml:space="preserve">30%-70% of transactions are typically made by account holders; </w:t>
      </w:r>
      <w:proofErr w:type="spellStart"/>
      <w:r w:rsidRPr="00EF3296">
        <w:rPr>
          <w:i w:val="0"/>
          <w:sz w:val="20"/>
          <w:szCs w:val="20"/>
        </w:rPr>
        <w:t>DartTAG</w:t>
      </w:r>
      <w:proofErr w:type="spellEnd"/>
      <w:r w:rsidRPr="00EF3296">
        <w:rPr>
          <w:i w:val="0"/>
          <w:sz w:val="20"/>
          <w:szCs w:val="20"/>
        </w:rPr>
        <w:t xml:space="preserve"> users currently comprise 30% of vehicles using the Dartford crossing and the free flow business case assumes that this will increase to 49%</w:t>
      </w:r>
      <w:proofErr w:type="gramStart"/>
      <w:r w:rsidRPr="00EF3296">
        <w:rPr>
          <w:i w:val="0"/>
          <w:sz w:val="20"/>
          <w:szCs w:val="20"/>
        </w:rPr>
        <w:t>;.</w:t>
      </w:r>
      <w:proofErr w:type="gramEnd"/>
      <w:r w:rsidRPr="00EF3296">
        <w:rPr>
          <w:i w:val="0"/>
          <w:sz w:val="20"/>
          <w:szCs w:val="20"/>
        </w:rPr>
        <w:t xml:space="preserve"> </w:t>
      </w:r>
    </w:p>
    <w:p w:rsidR="00302E0C" w:rsidRDefault="00EF3296">
      <w:pPr>
        <w:pStyle w:val="Para3"/>
        <w:numPr>
          <w:ilvl w:val="0"/>
          <w:numId w:val="13"/>
        </w:numPr>
      </w:pPr>
      <w:r w:rsidRPr="00EF3296">
        <w:rPr>
          <w:i w:val="0"/>
          <w:sz w:val="20"/>
          <w:szCs w:val="20"/>
        </w:rPr>
        <w:t>20%-90% of payments by ‘unregistered’ users might be made by credit card or through retail outlets, assuming that payment channels are made available</w:t>
      </w:r>
    </w:p>
    <w:p w:rsidR="007A378A" w:rsidRDefault="007A378A" w:rsidP="0039632B"/>
    <w:p w:rsidR="00302E0C" w:rsidRDefault="007A378A">
      <w:pPr>
        <w:pStyle w:val="Para3"/>
        <w:numPr>
          <w:ilvl w:val="2"/>
          <w:numId w:val="10"/>
        </w:numPr>
        <w:tabs>
          <w:tab w:val="clear" w:pos="1440"/>
          <w:tab w:val="num" w:pos="709"/>
        </w:tabs>
        <w:rPr>
          <w:i w:val="0"/>
          <w:sz w:val="20"/>
          <w:szCs w:val="20"/>
        </w:rPr>
      </w:pPr>
      <w:r>
        <w:rPr>
          <w:i w:val="0"/>
          <w:sz w:val="20"/>
          <w:szCs w:val="20"/>
        </w:rPr>
        <w:t xml:space="preserve">Allowing for the possibility that some users may be invoiced monthly rather than per transaction, we have assumed that bank charges and invoicing costs would average at </w:t>
      </w:r>
      <w:r w:rsidRPr="007D45D3">
        <w:rPr>
          <w:i w:val="0"/>
          <w:sz w:val="20"/>
          <w:szCs w:val="20"/>
        </w:rPr>
        <w:t>about 20p</w:t>
      </w:r>
      <w:r>
        <w:rPr>
          <w:i w:val="0"/>
          <w:sz w:val="20"/>
          <w:szCs w:val="20"/>
        </w:rPr>
        <w:t xml:space="preserve"> per transaction.</w:t>
      </w:r>
    </w:p>
    <w:p w:rsidR="00302E0C" w:rsidRDefault="007A378A">
      <w:pPr>
        <w:pStyle w:val="Para3"/>
        <w:numPr>
          <w:ilvl w:val="2"/>
          <w:numId w:val="10"/>
        </w:numPr>
        <w:tabs>
          <w:tab w:val="clear" w:pos="1440"/>
          <w:tab w:val="num" w:pos="709"/>
        </w:tabs>
        <w:rPr>
          <w:i w:val="0"/>
          <w:sz w:val="20"/>
          <w:szCs w:val="20"/>
        </w:rPr>
      </w:pPr>
      <w:r w:rsidRPr="006B469F">
        <w:rPr>
          <w:i w:val="0"/>
          <w:sz w:val="20"/>
          <w:szCs w:val="20"/>
        </w:rPr>
        <w:t xml:space="preserve">In addition, there would be a need to operate a customer call centre to respond to questions. Based on evidence from similar operations </w:t>
      </w:r>
      <w:proofErr w:type="gramStart"/>
      <w:r w:rsidRPr="006B469F">
        <w:rPr>
          <w:i w:val="0"/>
          <w:sz w:val="20"/>
          <w:szCs w:val="20"/>
        </w:rPr>
        <w:t>between 50-150 full-time customer service operatives are likely to be required to deal with queries arising from 70m transactions per annum</w:t>
      </w:r>
      <w:proofErr w:type="gramEnd"/>
      <w:r w:rsidRPr="006B469F">
        <w:rPr>
          <w:i w:val="0"/>
          <w:sz w:val="20"/>
          <w:szCs w:val="20"/>
        </w:rPr>
        <w:t xml:space="preserve">. </w:t>
      </w:r>
      <w:r>
        <w:rPr>
          <w:i w:val="0"/>
          <w:sz w:val="20"/>
          <w:szCs w:val="20"/>
        </w:rPr>
        <w:t>(</w:t>
      </w:r>
      <w:r w:rsidRPr="007D45D3">
        <w:rPr>
          <w:i w:val="0"/>
          <w:sz w:val="20"/>
          <w:szCs w:val="20"/>
        </w:rPr>
        <w:t>This assumes 3 minutes per query, 3 queries per account holder per year, and a query from 15% of non-account-holder trips</w:t>
      </w:r>
      <w:r>
        <w:rPr>
          <w:i w:val="0"/>
          <w:sz w:val="20"/>
          <w:szCs w:val="20"/>
        </w:rPr>
        <w:t>)</w:t>
      </w:r>
      <w:r w:rsidR="00EF3296" w:rsidRPr="00EF3296">
        <w:footnoteReference w:id="1"/>
      </w:r>
      <w:r w:rsidRPr="007D45D3">
        <w:rPr>
          <w:i w:val="0"/>
          <w:sz w:val="20"/>
          <w:szCs w:val="20"/>
        </w:rPr>
        <w:t>.</w:t>
      </w:r>
    </w:p>
    <w:p w:rsidR="00302E0C" w:rsidRDefault="007A378A">
      <w:pPr>
        <w:pStyle w:val="Para3"/>
        <w:numPr>
          <w:ilvl w:val="2"/>
          <w:numId w:val="10"/>
        </w:numPr>
        <w:tabs>
          <w:tab w:val="clear" w:pos="1440"/>
          <w:tab w:val="num" w:pos="709"/>
        </w:tabs>
        <w:rPr>
          <w:i w:val="0"/>
          <w:sz w:val="20"/>
          <w:szCs w:val="20"/>
        </w:rPr>
      </w:pPr>
      <w:r w:rsidRPr="007D45D3">
        <w:rPr>
          <w:i w:val="0"/>
          <w:sz w:val="20"/>
          <w:szCs w:val="20"/>
        </w:rPr>
        <w:t>This implies around 6</w:t>
      </w:r>
      <w:r>
        <w:rPr>
          <w:i w:val="0"/>
          <w:sz w:val="20"/>
          <w:szCs w:val="20"/>
        </w:rPr>
        <w:t xml:space="preserve"> pence per transaction, assuming £30,000 total employment and overhead costs per person.</w:t>
      </w:r>
    </w:p>
    <w:p w:rsidR="007A378A" w:rsidRDefault="007A378A">
      <w:pPr>
        <w:pStyle w:val="Body"/>
        <w:rPr>
          <w:sz w:val="20"/>
          <w:szCs w:val="20"/>
        </w:rPr>
      </w:pPr>
    </w:p>
    <w:p w:rsidR="007A378A" w:rsidRPr="00901D7B" w:rsidRDefault="007A378A" w:rsidP="0039632B">
      <w:pPr>
        <w:pStyle w:val="Hdg2"/>
        <w:numPr>
          <w:ilvl w:val="1"/>
          <w:numId w:val="10"/>
        </w:numPr>
        <w:spacing w:after="120"/>
        <w:rPr>
          <w:sz w:val="20"/>
          <w:szCs w:val="20"/>
        </w:rPr>
      </w:pPr>
      <w:bookmarkStart w:id="50" w:name="_Toc341694622"/>
      <w:r>
        <w:rPr>
          <w:sz w:val="20"/>
          <w:szCs w:val="20"/>
        </w:rPr>
        <w:t>Enforcement</w:t>
      </w:r>
      <w:bookmarkEnd w:id="50"/>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While most users will pay, either through registering or by paying for individual transactions (in shops, online or by phone) it is to be expected that a number will not. It is to be expected that some form of fines and enforcement protocol will be applied in these circumstances. </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It is assumed here that fines for failure to pay will be set at such a level that, accounting for users who do not or cannot be compelled to pay fines, the fines will recover the costs involved with enforcement (such as posting letters, on-road enforcement, and appropriate legal proceedings). It has therefore been assumed that the net effect of enforcement costs is nil.</w:t>
      </w:r>
    </w:p>
    <w:p w:rsidR="007A378A" w:rsidRDefault="007A378A" w:rsidP="00F96876">
      <w:pPr>
        <w:pStyle w:val="Body"/>
        <w:rPr>
          <w:sz w:val="20"/>
          <w:szCs w:val="20"/>
        </w:rPr>
      </w:pPr>
    </w:p>
    <w:p w:rsidR="007A378A" w:rsidRPr="00901D7B" w:rsidRDefault="007A378A" w:rsidP="0039632B">
      <w:pPr>
        <w:pStyle w:val="Hdg2"/>
        <w:numPr>
          <w:ilvl w:val="1"/>
          <w:numId w:val="10"/>
        </w:numPr>
        <w:spacing w:after="120"/>
        <w:rPr>
          <w:sz w:val="20"/>
          <w:szCs w:val="20"/>
        </w:rPr>
      </w:pPr>
      <w:bookmarkStart w:id="51" w:name="_Toc341694623"/>
      <w:r>
        <w:rPr>
          <w:sz w:val="20"/>
          <w:szCs w:val="20"/>
        </w:rPr>
        <w:t>Summary of Costs</w:t>
      </w:r>
      <w:bookmarkEnd w:id="51"/>
    </w:p>
    <w:p w:rsidR="00302E0C" w:rsidRDefault="007A378A">
      <w:pPr>
        <w:pStyle w:val="Para3"/>
        <w:numPr>
          <w:ilvl w:val="2"/>
          <w:numId w:val="10"/>
        </w:numPr>
        <w:tabs>
          <w:tab w:val="clear" w:pos="1440"/>
          <w:tab w:val="num" w:pos="709"/>
        </w:tabs>
        <w:rPr>
          <w:i w:val="0"/>
          <w:sz w:val="20"/>
          <w:szCs w:val="20"/>
        </w:rPr>
      </w:pPr>
      <w:r>
        <w:rPr>
          <w:i w:val="0"/>
          <w:sz w:val="20"/>
          <w:szCs w:val="20"/>
        </w:rPr>
        <w:t xml:space="preserve">Table 3 summarises our estimate of revenue collection operating cost rates per transaction. </w:t>
      </w:r>
    </w:p>
    <w:p w:rsidR="007A378A" w:rsidRDefault="007A378A">
      <w:pPr>
        <w:pStyle w:val="Body"/>
        <w:keepNext/>
        <w:rPr>
          <w:sz w:val="20"/>
          <w:szCs w:val="20"/>
        </w:rPr>
      </w:pPr>
    </w:p>
    <w:p w:rsidR="007A378A" w:rsidRDefault="007A378A">
      <w:pPr>
        <w:pStyle w:val="Caption"/>
        <w:keepNext/>
        <w:tabs>
          <w:tab w:val="num" w:pos="709"/>
          <w:tab w:val="left" w:pos="5059"/>
        </w:tabs>
        <w:spacing w:after="120"/>
        <w:rPr>
          <w:b/>
          <w:sz w:val="20"/>
          <w:szCs w:val="20"/>
        </w:rPr>
      </w:pPr>
      <w:r>
        <w:rPr>
          <w:b/>
          <w:sz w:val="20"/>
          <w:szCs w:val="20"/>
        </w:rPr>
        <w:tab/>
      </w:r>
      <w:r w:rsidRPr="009B56E6">
        <w:rPr>
          <w:b/>
          <w:sz w:val="20"/>
          <w:szCs w:val="20"/>
        </w:rPr>
        <w:t>Table</w:t>
      </w:r>
      <w:r>
        <w:rPr>
          <w:b/>
          <w:sz w:val="20"/>
          <w:szCs w:val="20"/>
        </w:rPr>
        <w:t xml:space="preserve"> 3</w:t>
      </w:r>
      <w:r w:rsidRPr="009B56E6">
        <w:rPr>
          <w:b/>
          <w:sz w:val="20"/>
          <w:szCs w:val="20"/>
        </w:rPr>
        <w:t xml:space="preserve">: </w:t>
      </w:r>
      <w:r>
        <w:rPr>
          <w:b/>
          <w:sz w:val="20"/>
          <w:szCs w:val="20"/>
        </w:rPr>
        <w:t>Estimated Operating Cost per Transaction (2010 prices)</w:t>
      </w:r>
    </w:p>
    <w:tbl>
      <w:tblPr>
        <w:tblW w:w="51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0"/>
        <w:gridCol w:w="1461"/>
      </w:tblGrid>
      <w:tr w:rsidR="007A378A" w:rsidRPr="00AF0603" w:rsidTr="00AF0603">
        <w:trPr>
          <w:trHeight w:val="300"/>
        </w:trPr>
        <w:tc>
          <w:tcPr>
            <w:tcW w:w="3700" w:type="dxa"/>
            <w:noWrap/>
            <w:vAlign w:val="bottom"/>
          </w:tcPr>
          <w:p w:rsidR="007A378A" w:rsidRPr="00AF0603" w:rsidRDefault="00EF3296">
            <w:pPr>
              <w:keepNext/>
              <w:rPr>
                <w:rFonts w:cs="Arial"/>
                <w:b/>
                <w:color w:val="000000"/>
                <w:sz w:val="20"/>
                <w:szCs w:val="20"/>
                <w:lang w:eastAsia="en-GB"/>
              </w:rPr>
            </w:pPr>
            <w:r w:rsidRPr="00EF3296">
              <w:rPr>
                <w:rFonts w:cs="Arial"/>
                <w:b/>
                <w:color w:val="000000"/>
                <w:sz w:val="20"/>
                <w:szCs w:val="20"/>
                <w:lang w:eastAsia="en-GB"/>
              </w:rPr>
              <w:t>Cost</w:t>
            </w:r>
          </w:p>
        </w:tc>
        <w:tc>
          <w:tcPr>
            <w:tcW w:w="1461" w:type="dxa"/>
            <w:noWrap/>
            <w:vAlign w:val="bottom"/>
          </w:tcPr>
          <w:p w:rsidR="007A378A" w:rsidRPr="00AF0603" w:rsidRDefault="00EF3296">
            <w:pPr>
              <w:keepNext/>
              <w:rPr>
                <w:rFonts w:cs="Arial"/>
                <w:b/>
                <w:color w:val="000000"/>
                <w:sz w:val="20"/>
                <w:szCs w:val="20"/>
                <w:lang w:eastAsia="en-GB"/>
              </w:rPr>
            </w:pPr>
            <w:r w:rsidRPr="00EF3296">
              <w:rPr>
                <w:rFonts w:cs="Arial"/>
                <w:b/>
                <w:color w:val="000000"/>
                <w:sz w:val="20"/>
                <w:szCs w:val="20"/>
                <w:lang w:eastAsia="en-GB"/>
              </w:rPr>
              <w:t>£/transaction</w:t>
            </w:r>
          </w:p>
        </w:tc>
      </w:tr>
      <w:tr w:rsidR="007A378A" w:rsidRPr="00AF0603" w:rsidTr="00AF0603">
        <w:trPr>
          <w:trHeight w:val="300"/>
        </w:trPr>
        <w:tc>
          <w:tcPr>
            <w:tcW w:w="3700" w:type="dxa"/>
            <w:noWrap/>
            <w:vAlign w:val="bottom"/>
          </w:tcPr>
          <w:p w:rsidR="007A378A" w:rsidRPr="00AF0603" w:rsidRDefault="00EF3296">
            <w:pPr>
              <w:keepNext/>
              <w:rPr>
                <w:rFonts w:cs="Arial"/>
                <w:color w:val="000000"/>
                <w:sz w:val="20"/>
                <w:szCs w:val="20"/>
                <w:lang w:eastAsia="en-GB"/>
              </w:rPr>
            </w:pPr>
            <w:r w:rsidRPr="00EF3296">
              <w:rPr>
                <w:rFonts w:cs="Arial"/>
                <w:color w:val="000000"/>
                <w:sz w:val="20"/>
                <w:szCs w:val="20"/>
                <w:lang w:eastAsia="en-GB"/>
              </w:rPr>
              <w:t>Detection and ANPR IT equipment</w:t>
            </w:r>
          </w:p>
        </w:tc>
        <w:tc>
          <w:tcPr>
            <w:tcW w:w="1461" w:type="dxa"/>
            <w:noWrap/>
            <w:vAlign w:val="bottom"/>
          </w:tcPr>
          <w:p w:rsidR="007A378A" w:rsidRPr="00AF0603" w:rsidRDefault="00EF3296">
            <w:pPr>
              <w:keepNext/>
              <w:jc w:val="right"/>
              <w:rPr>
                <w:rFonts w:cs="Arial"/>
                <w:color w:val="000000"/>
                <w:sz w:val="20"/>
                <w:szCs w:val="20"/>
                <w:lang w:eastAsia="en-GB"/>
              </w:rPr>
            </w:pPr>
            <w:r w:rsidRPr="00EF3296">
              <w:rPr>
                <w:rFonts w:cs="Arial"/>
                <w:color w:val="000000"/>
                <w:sz w:val="20"/>
                <w:szCs w:val="20"/>
                <w:lang w:eastAsia="en-GB"/>
              </w:rPr>
              <w:t>£0.11</w:t>
            </w:r>
          </w:p>
        </w:tc>
      </w:tr>
      <w:tr w:rsidR="007A378A" w:rsidRPr="00AF0603" w:rsidTr="00AF0603">
        <w:trPr>
          <w:trHeight w:val="300"/>
        </w:trPr>
        <w:tc>
          <w:tcPr>
            <w:tcW w:w="3700" w:type="dxa"/>
            <w:noWrap/>
            <w:vAlign w:val="bottom"/>
          </w:tcPr>
          <w:p w:rsidR="007A378A" w:rsidRPr="00AF0603" w:rsidRDefault="00EF3296" w:rsidP="007D45D3">
            <w:pPr>
              <w:rPr>
                <w:rFonts w:cs="Arial"/>
                <w:color w:val="000000"/>
                <w:sz w:val="20"/>
                <w:szCs w:val="20"/>
                <w:lang w:eastAsia="en-GB"/>
              </w:rPr>
            </w:pPr>
            <w:r w:rsidRPr="00EF3296">
              <w:rPr>
                <w:rFonts w:cs="Arial"/>
                <w:color w:val="000000"/>
                <w:sz w:val="20"/>
                <w:szCs w:val="20"/>
                <w:lang w:eastAsia="en-GB"/>
              </w:rPr>
              <w:t>ANPR manual checking staff</w:t>
            </w:r>
          </w:p>
        </w:tc>
        <w:tc>
          <w:tcPr>
            <w:tcW w:w="1461" w:type="dxa"/>
            <w:noWrap/>
            <w:vAlign w:val="bottom"/>
          </w:tcPr>
          <w:p w:rsidR="007A378A" w:rsidRPr="00AF0603" w:rsidRDefault="00EF3296" w:rsidP="007D45D3">
            <w:pPr>
              <w:jc w:val="right"/>
              <w:rPr>
                <w:rFonts w:cs="Arial"/>
                <w:color w:val="000000"/>
                <w:sz w:val="20"/>
                <w:szCs w:val="20"/>
                <w:lang w:eastAsia="en-GB"/>
              </w:rPr>
            </w:pPr>
            <w:r w:rsidRPr="00EF3296">
              <w:rPr>
                <w:rFonts w:cs="Arial"/>
                <w:color w:val="000000"/>
                <w:sz w:val="20"/>
                <w:szCs w:val="20"/>
                <w:lang w:eastAsia="en-GB"/>
              </w:rPr>
              <w:t>£0.03</w:t>
            </w:r>
          </w:p>
        </w:tc>
      </w:tr>
      <w:tr w:rsidR="007A378A" w:rsidRPr="00AF0603" w:rsidTr="00AF0603">
        <w:trPr>
          <w:trHeight w:val="300"/>
        </w:trPr>
        <w:tc>
          <w:tcPr>
            <w:tcW w:w="3700" w:type="dxa"/>
            <w:noWrap/>
            <w:vAlign w:val="bottom"/>
          </w:tcPr>
          <w:p w:rsidR="007A378A" w:rsidRPr="00AF0603" w:rsidRDefault="00EF3296" w:rsidP="007D45D3">
            <w:pPr>
              <w:rPr>
                <w:rFonts w:cs="Arial"/>
                <w:color w:val="000000"/>
                <w:sz w:val="20"/>
                <w:szCs w:val="20"/>
                <w:lang w:eastAsia="en-GB"/>
              </w:rPr>
            </w:pPr>
            <w:r w:rsidRPr="00EF3296">
              <w:rPr>
                <w:rFonts w:cs="Arial"/>
                <w:color w:val="000000"/>
                <w:sz w:val="20"/>
                <w:szCs w:val="20"/>
                <w:lang w:eastAsia="en-GB"/>
              </w:rPr>
              <w:t>Customer Service</w:t>
            </w:r>
          </w:p>
        </w:tc>
        <w:tc>
          <w:tcPr>
            <w:tcW w:w="1461" w:type="dxa"/>
            <w:noWrap/>
            <w:vAlign w:val="bottom"/>
          </w:tcPr>
          <w:p w:rsidR="007A378A" w:rsidRPr="00AF0603" w:rsidRDefault="00EF3296" w:rsidP="007D45D3">
            <w:pPr>
              <w:jc w:val="right"/>
              <w:rPr>
                <w:rFonts w:cs="Arial"/>
                <w:color w:val="000000"/>
                <w:sz w:val="20"/>
                <w:szCs w:val="20"/>
                <w:lang w:eastAsia="en-GB"/>
              </w:rPr>
            </w:pPr>
            <w:r w:rsidRPr="00EF3296">
              <w:rPr>
                <w:rFonts w:cs="Arial"/>
                <w:color w:val="000000"/>
                <w:sz w:val="20"/>
                <w:szCs w:val="20"/>
                <w:lang w:eastAsia="en-GB"/>
              </w:rPr>
              <w:t>£0..06</w:t>
            </w:r>
          </w:p>
        </w:tc>
      </w:tr>
      <w:tr w:rsidR="007A378A" w:rsidRPr="00AF0603" w:rsidTr="00AF0603">
        <w:trPr>
          <w:trHeight w:val="300"/>
        </w:trPr>
        <w:tc>
          <w:tcPr>
            <w:tcW w:w="3700" w:type="dxa"/>
            <w:noWrap/>
            <w:vAlign w:val="bottom"/>
          </w:tcPr>
          <w:p w:rsidR="007A378A" w:rsidRPr="00AF0603" w:rsidRDefault="00EF3296" w:rsidP="007D45D3">
            <w:pPr>
              <w:rPr>
                <w:rFonts w:cs="Arial"/>
                <w:color w:val="000000"/>
                <w:sz w:val="20"/>
                <w:szCs w:val="20"/>
                <w:lang w:eastAsia="en-GB"/>
              </w:rPr>
            </w:pPr>
            <w:r w:rsidRPr="00EF3296">
              <w:rPr>
                <w:rFonts w:cs="Arial"/>
                <w:color w:val="000000"/>
                <w:sz w:val="20"/>
                <w:szCs w:val="20"/>
                <w:lang w:eastAsia="en-GB"/>
              </w:rPr>
              <w:t>invoice and payment</w:t>
            </w:r>
          </w:p>
        </w:tc>
        <w:tc>
          <w:tcPr>
            <w:tcW w:w="1461" w:type="dxa"/>
            <w:noWrap/>
            <w:vAlign w:val="bottom"/>
          </w:tcPr>
          <w:p w:rsidR="007A378A" w:rsidRPr="00AF0603" w:rsidRDefault="00EF3296" w:rsidP="007D45D3">
            <w:pPr>
              <w:jc w:val="right"/>
              <w:rPr>
                <w:rFonts w:cs="Arial"/>
                <w:color w:val="000000"/>
                <w:sz w:val="20"/>
                <w:szCs w:val="20"/>
                <w:lang w:eastAsia="en-GB"/>
              </w:rPr>
            </w:pPr>
            <w:r w:rsidRPr="00EF3296">
              <w:rPr>
                <w:rFonts w:cs="Arial"/>
                <w:color w:val="000000"/>
                <w:sz w:val="20"/>
                <w:szCs w:val="20"/>
                <w:lang w:eastAsia="en-GB"/>
              </w:rPr>
              <w:t>£0.20</w:t>
            </w:r>
          </w:p>
        </w:tc>
      </w:tr>
      <w:tr w:rsidR="007A378A" w:rsidRPr="00AF0603" w:rsidTr="00AF0603">
        <w:trPr>
          <w:trHeight w:val="300"/>
        </w:trPr>
        <w:tc>
          <w:tcPr>
            <w:tcW w:w="3700" w:type="dxa"/>
            <w:noWrap/>
            <w:vAlign w:val="bottom"/>
          </w:tcPr>
          <w:p w:rsidR="007A378A" w:rsidRPr="00AF0603" w:rsidRDefault="00EF3296" w:rsidP="007D45D3">
            <w:pPr>
              <w:rPr>
                <w:rFonts w:cs="Arial"/>
                <w:color w:val="000000"/>
                <w:sz w:val="20"/>
                <w:szCs w:val="20"/>
                <w:lang w:eastAsia="en-GB"/>
              </w:rPr>
            </w:pPr>
            <w:r w:rsidRPr="00EF3296">
              <w:rPr>
                <w:rFonts w:cs="Arial"/>
                <w:color w:val="000000"/>
                <w:sz w:val="20"/>
                <w:szCs w:val="20"/>
                <w:lang w:eastAsia="en-GB"/>
              </w:rPr>
              <w:t>Enforcement</w:t>
            </w:r>
          </w:p>
        </w:tc>
        <w:tc>
          <w:tcPr>
            <w:tcW w:w="1461" w:type="dxa"/>
            <w:noWrap/>
            <w:vAlign w:val="bottom"/>
          </w:tcPr>
          <w:p w:rsidR="007A378A" w:rsidRPr="00AF0603" w:rsidRDefault="00EF3296" w:rsidP="007D45D3">
            <w:pPr>
              <w:jc w:val="right"/>
              <w:rPr>
                <w:rFonts w:cs="Arial"/>
                <w:color w:val="000000"/>
                <w:sz w:val="20"/>
                <w:szCs w:val="20"/>
                <w:lang w:eastAsia="en-GB"/>
              </w:rPr>
            </w:pPr>
            <w:r w:rsidRPr="00EF3296">
              <w:rPr>
                <w:rFonts w:cs="Arial"/>
                <w:color w:val="000000"/>
                <w:sz w:val="20"/>
                <w:szCs w:val="20"/>
                <w:lang w:eastAsia="en-GB"/>
              </w:rPr>
              <w:t>£0.00</w:t>
            </w:r>
          </w:p>
        </w:tc>
      </w:tr>
      <w:tr w:rsidR="007A378A" w:rsidRPr="00AF0603" w:rsidTr="00AF0603">
        <w:trPr>
          <w:trHeight w:val="300"/>
        </w:trPr>
        <w:tc>
          <w:tcPr>
            <w:tcW w:w="3700" w:type="dxa"/>
            <w:noWrap/>
            <w:vAlign w:val="bottom"/>
          </w:tcPr>
          <w:p w:rsidR="007A378A" w:rsidRPr="00AF0603" w:rsidRDefault="00EF3296" w:rsidP="007D45D3">
            <w:pPr>
              <w:rPr>
                <w:rFonts w:cs="Arial"/>
                <w:b/>
                <w:bCs/>
                <w:color w:val="000000"/>
                <w:sz w:val="20"/>
                <w:szCs w:val="20"/>
                <w:lang w:eastAsia="en-GB"/>
              </w:rPr>
            </w:pPr>
            <w:r w:rsidRPr="00EF3296">
              <w:rPr>
                <w:rFonts w:cs="Arial"/>
                <w:b/>
                <w:bCs/>
                <w:color w:val="000000"/>
                <w:sz w:val="20"/>
                <w:szCs w:val="20"/>
                <w:lang w:eastAsia="en-GB"/>
              </w:rPr>
              <w:t>Total</w:t>
            </w:r>
          </w:p>
        </w:tc>
        <w:tc>
          <w:tcPr>
            <w:tcW w:w="1461" w:type="dxa"/>
            <w:noWrap/>
            <w:vAlign w:val="bottom"/>
          </w:tcPr>
          <w:p w:rsidR="007A378A" w:rsidRPr="00AF0603" w:rsidRDefault="00EF3296" w:rsidP="007D45D3">
            <w:pPr>
              <w:jc w:val="right"/>
              <w:rPr>
                <w:rFonts w:cs="Arial"/>
                <w:b/>
                <w:bCs/>
                <w:color w:val="000000"/>
                <w:sz w:val="20"/>
                <w:szCs w:val="20"/>
                <w:lang w:eastAsia="en-GB"/>
              </w:rPr>
            </w:pPr>
            <w:r w:rsidRPr="00EF3296">
              <w:rPr>
                <w:rFonts w:cs="Arial"/>
                <w:b/>
                <w:bCs/>
                <w:color w:val="000000"/>
                <w:sz w:val="20"/>
                <w:szCs w:val="20"/>
                <w:lang w:eastAsia="en-GB"/>
              </w:rPr>
              <w:t>£0.40</w:t>
            </w:r>
          </w:p>
        </w:tc>
      </w:tr>
    </w:tbl>
    <w:p w:rsidR="007A378A" w:rsidRDefault="007A378A" w:rsidP="00F96876">
      <w:pPr>
        <w:pStyle w:val="Body"/>
        <w:rPr>
          <w:sz w:val="20"/>
          <w:szCs w:val="20"/>
        </w:rPr>
      </w:pPr>
      <w:r w:rsidRPr="00CA0A9A">
        <w:rPr>
          <w:highlight w:val="yellow"/>
        </w:rPr>
        <w:br w:type="textWrapping" w:clear="all"/>
      </w:r>
    </w:p>
    <w:p w:rsidR="00C56982" w:rsidRDefault="007A378A">
      <w:pPr>
        <w:pStyle w:val="Para3"/>
        <w:numPr>
          <w:ilvl w:val="2"/>
          <w:numId w:val="10"/>
        </w:numPr>
        <w:tabs>
          <w:tab w:val="clear" w:pos="1440"/>
          <w:tab w:val="num" w:pos="709"/>
        </w:tabs>
        <w:rPr>
          <w:i w:val="0"/>
          <w:sz w:val="20"/>
          <w:szCs w:val="20"/>
        </w:rPr>
      </w:pPr>
      <w:r>
        <w:rPr>
          <w:i w:val="0"/>
          <w:sz w:val="20"/>
          <w:szCs w:val="20"/>
        </w:rPr>
        <w:t xml:space="preserve">Our benchmarking evidence indicates considerable variation in costs from different crossing operations. We would expect costs to be within a range of </w:t>
      </w:r>
      <w:r w:rsidRPr="00AF0603">
        <w:rPr>
          <w:i w:val="0"/>
          <w:sz w:val="20"/>
          <w:szCs w:val="20"/>
        </w:rPr>
        <w:t>±</w:t>
      </w:r>
      <w:r>
        <w:rPr>
          <w:i w:val="0"/>
          <w:sz w:val="20"/>
          <w:szCs w:val="20"/>
        </w:rPr>
        <w:t xml:space="preserve">50% of these estimates.  These costs reflect wage and capital costs, nevertheless there will be scope for productivity improvements over time and we would therefore assume that costs would increase in line with CPI over time. </w:t>
      </w:r>
    </w:p>
    <w:p w:rsidR="00C56982" w:rsidRDefault="00C56982" w:rsidP="00C56982">
      <w:pPr>
        <w:pStyle w:val="ListBullet2"/>
        <w:numPr>
          <w:ilvl w:val="0"/>
          <w:numId w:val="0"/>
        </w:numPr>
        <w:ind w:left="643" w:hanging="360"/>
      </w:pPr>
    </w:p>
    <w:p w:rsidR="00C56982" w:rsidRDefault="00C56982" w:rsidP="00C56982">
      <w:pPr>
        <w:pStyle w:val="ListBullet2"/>
        <w:numPr>
          <w:ilvl w:val="0"/>
          <w:numId w:val="0"/>
        </w:numPr>
        <w:ind w:left="643" w:hanging="360"/>
      </w:pPr>
    </w:p>
    <w:p w:rsidR="00C56982" w:rsidRDefault="00C56982" w:rsidP="00C56982">
      <w:pPr>
        <w:pStyle w:val="ListBullet2"/>
        <w:numPr>
          <w:ilvl w:val="0"/>
          <w:numId w:val="0"/>
        </w:numPr>
        <w:ind w:left="643" w:hanging="360"/>
        <w:sectPr w:rsidR="00C56982" w:rsidSect="007323AF">
          <w:headerReference w:type="default" r:id="rId26"/>
          <w:pgSz w:w="11907" w:h="16840" w:code="9"/>
          <w:pgMar w:top="-1985" w:right="709" w:bottom="1729" w:left="907" w:header="357" w:footer="567" w:gutter="0"/>
          <w:cols w:space="187"/>
          <w:docGrid w:linePitch="360"/>
        </w:sectPr>
      </w:pPr>
    </w:p>
    <w:p w:rsidR="00C56982" w:rsidRPr="001279C6" w:rsidRDefault="00302E0C" w:rsidP="00C56982">
      <w:pPr>
        <w:pStyle w:val="SecDivider"/>
      </w:pPr>
      <w:r>
        <w:lastRenderedPageBreak/>
        <w:t xml:space="preserve">Maintenance </w:t>
      </w:r>
      <w:r w:rsidR="00C56982">
        <w:t xml:space="preserve">Cost </w:t>
      </w:r>
      <w:r w:rsidR="00C56982" w:rsidRPr="00C56982">
        <w:t>Breakdown</w:t>
      </w:r>
      <w:r w:rsidR="00C56982">
        <w:t xml:space="preserve"> </w:t>
      </w:r>
    </w:p>
    <w:p w:rsidR="00C56982" w:rsidRPr="00C56982" w:rsidRDefault="00C56982" w:rsidP="00C56982">
      <w:pPr>
        <w:pStyle w:val="SecDividerBody"/>
      </w:pPr>
    </w:p>
    <w:p w:rsidR="00C56982" w:rsidRPr="00C56982" w:rsidRDefault="00C56982" w:rsidP="00C56982">
      <w:pPr>
        <w:pStyle w:val="Para3"/>
        <w:numPr>
          <w:ilvl w:val="0"/>
          <w:numId w:val="0"/>
        </w:numPr>
        <w:rPr>
          <w:i w:val="0"/>
          <w:sz w:val="20"/>
          <w:szCs w:val="20"/>
        </w:rPr>
      </w:pPr>
    </w:p>
    <w:p w:rsidR="00C56982" w:rsidRPr="00C56982" w:rsidRDefault="00C56982" w:rsidP="00C56982">
      <w:pPr>
        <w:pStyle w:val="Para3"/>
        <w:numPr>
          <w:ilvl w:val="2"/>
          <w:numId w:val="10"/>
        </w:numPr>
        <w:tabs>
          <w:tab w:val="clear" w:pos="1440"/>
          <w:tab w:val="num" w:pos="709"/>
        </w:tabs>
        <w:rPr>
          <w:i w:val="0"/>
          <w:sz w:val="20"/>
          <w:szCs w:val="20"/>
        </w:rPr>
        <w:sectPr w:rsidR="00C56982" w:rsidRPr="00C56982">
          <w:headerReference w:type="default" r:id="rId27"/>
          <w:footerReference w:type="default" r:id="rId28"/>
          <w:pgSz w:w="11907" w:h="16840" w:code="9"/>
          <w:pgMar w:top="-3640" w:right="709" w:bottom="1729" w:left="6146" w:header="357" w:footer="567" w:gutter="0"/>
          <w:cols w:space="720"/>
          <w:docGrid w:linePitch="360"/>
        </w:sectPr>
      </w:pPr>
    </w:p>
    <w:p w:rsidR="00C56982" w:rsidRPr="00C56982" w:rsidRDefault="00302E0C" w:rsidP="00C56982">
      <w:pPr>
        <w:pStyle w:val="Hdg1"/>
        <w:framePr w:wrap="notBeside"/>
        <w:numPr>
          <w:ilvl w:val="0"/>
          <w:numId w:val="10"/>
        </w:numPr>
      </w:pPr>
      <w:bookmarkStart w:id="52" w:name="_Toc341694624"/>
      <w:r>
        <w:lastRenderedPageBreak/>
        <w:t>Maintenance</w:t>
      </w:r>
      <w:r w:rsidR="00C56982" w:rsidRPr="00C56982">
        <w:t xml:space="preserve"> </w:t>
      </w:r>
      <w:r w:rsidR="00C56982">
        <w:t xml:space="preserve">Cost </w:t>
      </w:r>
      <w:r w:rsidR="00C56982" w:rsidRPr="00C56982">
        <w:t>Breakdown</w:t>
      </w:r>
      <w:bookmarkEnd w:id="52"/>
      <w:r w:rsidR="00C56982">
        <w:t xml:space="preserve"> </w:t>
      </w:r>
    </w:p>
    <w:p w:rsidR="00302E0C" w:rsidRPr="00901D7B" w:rsidRDefault="00F313CD" w:rsidP="00302E0C">
      <w:pPr>
        <w:pStyle w:val="Hdg2"/>
        <w:numPr>
          <w:ilvl w:val="1"/>
          <w:numId w:val="10"/>
        </w:numPr>
        <w:spacing w:after="120"/>
        <w:rPr>
          <w:sz w:val="20"/>
          <w:szCs w:val="20"/>
        </w:rPr>
      </w:pPr>
      <w:bookmarkStart w:id="53" w:name="_Toc341694625"/>
      <w:r>
        <w:rPr>
          <w:sz w:val="20"/>
          <w:szCs w:val="20"/>
        </w:rPr>
        <w:t>Introduction</w:t>
      </w:r>
      <w:bookmarkEnd w:id="53"/>
    </w:p>
    <w:p w:rsidR="00C56982" w:rsidRDefault="00C56982" w:rsidP="00C56982">
      <w:pPr>
        <w:pStyle w:val="Para3"/>
        <w:numPr>
          <w:ilvl w:val="2"/>
          <w:numId w:val="10"/>
        </w:numPr>
        <w:tabs>
          <w:tab w:val="clear" w:pos="1440"/>
          <w:tab w:val="num" w:pos="709"/>
        </w:tabs>
        <w:rPr>
          <w:i w:val="0"/>
          <w:sz w:val="20"/>
          <w:szCs w:val="20"/>
        </w:rPr>
      </w:pPr>
      <w:r w:rsidRPr="00C56982">
        <w:rPr>
          <w:i w:val="0"/>
          <w:sz w:val="20"/>
          <w:szCs w:val="20"/>
        </w:rPr>
        <w:t xml:space="preserve">The data sources for operating and maintenance costs are limited and do not provide sufficient evidence to provide robust and detailed breakdown of these costs between the structure and link roads.  We have therefore considered cost rates for the link roads and used </w:t>
      </w:r>
      <w:r w:rsidR="00F313CD">
        <w:rPr>
          <w:i w:val="0"/>
          <w:sz w:val="20"/>
          <w:szCs w:val="20"/>
        </w:rPr>
        <w:t xml:space="preserve">our professional </w:t>
      </w:r>
      <w:r w:rsidRPr="00C56982">
        <w:rPr>
          <w:i w:val="0"/>
          <w:sz w:val="20"/>
          <w:szCs w:val="20"/>
        </w:rPr>
        <w:t>judgement to interpret the balance of costs between the main structure and supporting infrastructure.</w:t>
      </w:r>
    </w:p>
    <w:p w:rsidR="00F313CD" w:rsidRDefault="00F313CD" w:rsidP="00F313CD">
      <w:pPr>
        <w:pStyle w:val="Para3"/>
        <w:numPr>
          <w:ilvl w:val="0"/>
          <w:numId w:val="0"/>
        </w:numPr>
        <w:ind w:left="680"/>
        <w:rPr>
          <w:i w:val="0"/>
          <w:sz w:val="20"/>
          <w:szCs w:val="20"/>
        </w:rPr>
      </w:pPr>
    </w:p>
    <w:p w:rsidR="00F313CD" w:rsidRPr="00901D7B" w:rsidRDefault="00F313CD" w:rsidP="00F313CD">
      <w:pPr>
        <w:pStyle w:val="Hdg2"/>
        <w:numPr>
          <w:ilvl w:val="1"/>
          <w:numId w:val="10"/>
        </w:numPr>
        <w:spacing w:after="120"/>
        <w:rPr>
          <w:sz w:val="20"/>
          <w:szCs w:val="20"/>
        </w:rPr>
      </w:pPr>
      <w:bookmarkStart w:id="54" w:name="_Toc341694626"/>
      <w:r>
        <w:rPr>
          <w:sz w:val="20"/>
          <w:szCs w:val="20"/>
        </w:rPr>
        <w:t>Routine Operating and Maintenance Costs</w:t>
      </w:r>
      <w:bookmarkEnd w:id="54"/>
    </w:p>
    <w:p w:rsidR="00C56982" w:rsidRPr="00C56982" w:rsidRDefault="00C56982" w:rsidP="00C56982">
      <w:pPr>
        <w:pStyle w:val="Para3"/>
        <w:numPr>
          <w:ilvl w:val="2"/>
          <w:numId w:val="10"/>
        </w:numPr>
        <w:tabs>
          <w:tab w:val="clear" w:pos="1440"/>
          <w:tab w:val="num" w:pos="709"/>
        </w:tabs>
        <w:rPr>
          <w:i w:val="0"/>
          <w:sz w:val="20"/>
          <w:szCs w:val="20"/>
        </w:rPr>
      </w:pPr>
      <w:r w:rsidRPr="00C56982">
        <w:rPr>
          <w:i w:val="0"/>
          <w:sz w:val="20"/>
          <w:szCs w:val="20"/>
        </w:rPr>
        <w:t>On this basis</w:t>
      </w:r>
      <w:r w:rsidR="00302E0C">
        <w:rPr>
          <w:i w:val="0"/>
          <w:sz w:val="20"/>
          <w:szCs w:val="20"/>
        </w:rPr>
        <w:t>,</w:t>
      </w:r>
      <w:r w:rsidRPr="00C56982">
        <w:rPr>
          <w:i w:val="0"/>
          <w:sz w:val="20"/>
          <w:szCs w:val="20"/>
        </w:rPr>
        <w:t xml:space="preserve"> we would apportion the </w:t>
      </w:r>
      <w:r w:rsidR="00D4006A">
        <w:rPr>
          <w:i w:val="0"/>
          <w:sz w:val="20"/>
          <w:szCs w:val="20"/>
        </w:rPr>
        <w:t xml:space="preserve">following range of </w:t>
      </w:r>
      <w:r w:rsidRPr="00C56982">
        <w:rPr>
          <w:i w:val="0"/>
          <w:sz w:val="20"/>
          <w:szCs w:val="20"/>
        </w:rPr>
        <w:t xml:space="preserve">routine operating and maintenance (O&amp;M) costs </w:t>
      </w:r>
      <w:r w:rsidR="003C12D8">
        <w:rPr>
          <w:i w:val="0"/>
          <w:sz w:val="20"/>
          <w:szCs w:val="20"/>
        </w:rPr>
        <w:t>for the structure and associated link roads for</w:t>
      </w:r>
      <w:r w:rsidR="00D4006A">
        <w:rPr>
          <w:i w:val="0"/>
          <w:sz w:val="20"/>
          <w:szCs w:val="20"/>
        </w:rPr>
        <w:t xml:space="preserve"> each Crossing location </w:t>
      </w:r>
      <w:r w:rsidRPr="00C56982">
        <w:rPr>
          <w:i w:val="0"/>
          <w:sz w:val="20"/>
          <w:szCs w:val="20"/>
        </w:rPr>
        <w:t>as follows:</w:t>
      </w:r>
    </w:p>
    <w:p w:rsidR="00D4006A" w:rsidRPr="003C12D8" w:rsidRDefault="00D4006A" w:rsidP="00302E0C">
      <w:pPr>
        <w:pStyle w:val="Para3"/>
        <w:numPr>
          <w:ilvl w:val="0"/>
          <w:numId w:val="0"/>
        </w:numPr>
        <w:ind w:left="680"/>
        <w:rPr>
          <w:b/>
          <w:i w:val="0"/>
          <w:sz w:val="20"/>
          <w:szCs w:val="20"/>
        </w:rPr>
      </w:pPr>
      <w:r w:rsidRPr="003C12D8">
        <w:rPr>
          <w:b/>
          <w:i w:val="0"/>
          <w:sz w:val="20"/>
          <w:szCs w:val="20"/>
        </w:rPr>
        <w:t xml:space="preserve">Table 4: Routine Maintenance Cost Range </w:t>
      </w:r>
      <w:r w:rsidR="003C12D8" w:rsidRPr="003C12D8">
        <w:rPr>
          <w:b/>
          <w:i w:val="0"/>
          <w:sz w:val="20"/>
          <w:szCs w:val="20"/>
        </w:rPr>
        <w:t xml:space="preserve">Splits </w:t>
      </w:r>
    </w:p>
    <w:tbl>
      <w:tblPr>
        <w:tblStyle w:val="TableGrid"/>
        <w:tblW w:w="0" w:type="auto"/>
        <w:tblInd w:w="680" w:type="dxa"/>
        <w:tblLook w:val="04A0"/>
      </w:tblPr>
      <w:tblGrid>
        <w:gridCol w:w="1838"/>
        <w:gridCol w:w="2906"/>
        <w:gridCol w:w="2906"/>
      </w:tblGrid>
      <w:tr w:rsidR="00D4006A" w:rsidTr="00D4006A">
        <w:tc>
          <w:tcPr>
            <w:tcW w:w="1838" w:type="dxa"/>
          </w:tcPr>
          <w:p w:rsidR="00D4006A" w:rsidRDefault="00D4006A" w:rsidP="00302E0C">
            <w:pPr>
              <w:pStyle w:val="Para3"/>
              <w:numPr>
                <w:ilvl w:val="0"/>
                <w:numId w:val="0"/>
              </w:numPr>
              <w:rPr>
                <w:i w:val="0"/>
                <w:sz w:val="20"/>
                <w:szCs w:val="20"/>
              </w:rPr>
            </w:pPr>
            <w:r>
              <w:rPr>
                <w:i w:val="0"/>
                <w:sz w:val="20"/>
                <w:szCs w:val="20"/>
              </w:rPr>
              <w:t>Crossing Option</w:t>
            </w:r>
          </w:p>
        </w:tc>
        <w:tc>
          <w:tcPr>
            <w:tcW w:w="2906" w:type="dxa"/>
          </w:tcPr>
          <w:p w:rsidR="00D4006A" w:rsidRDefault="00D4006A" w:rsidP="00D4006A">
            <w:pPr>
              <w:pStyle w:val="Para3"/>
              <w:numPr>
                <w:ilvl w:val="0"/>
                <w:numId w:val="0"/>
              </w:numPr>
              <w:rPr>
                <w:i w:val="0"/>
                <w:sz w:val="20"/>
                <w:szCs w:val="20"/>
              </w:rPr>
            </w:pPr>
            <w:r>
              <w:rPr>
                <w:i w:val="0"/>
                <w:sz w:val="20"/>
                <w:szCs w:val="20"/>
              </w:rPr>
              <w:t>Range of costs allocated to Structure</w:t>
            </w:r>
          </w:p>
        </w:tc>
        <w:tc>
          <w:tcPr>
            <w:tcW w:w="2906" w:type="dxa"/>
          </w:tcPr>
          <w:p w:rsidR="00D4006A" w:rsidRDefault="00D4006A" w:rsidP="00D4006A">
            <w:pPr>
              <w:pStyle w:val="Para3"/>
              <w:numPr>
                <w:ilvl w:val="0"/>
                <w:numId w:val="0"/>
              </w:numPr>
              <w:rPr>
                <w:i w:val="0"/>
                <w:sz w:val="20"/>
                <w:szCs w:val="20"/>
              </w:rPr>
            </w:pPr>
            <w:r>
              <w:rPr>
                <w:i w:val="0"/>
                <w:sz w:val="20"/>
                <w:szCs w:val="20"/>
              </w:rPr>
              <w:t>Range of costs allocated to link roads</w:t>
            </w:r>
          </w:p>
        </w:tc>
      </w:tr>
      <w:tr w:rsidR="00D4006A" w:rsidTr="00D4006A">
        <w:tc>
          <w:tcPr>
            <w:tcW w:w="1838" w:type="dxa"/>
          </w:tcPr>
          <w:p w:rsidR="00D4006A" w:rsidRDefault="00D4006A" w:rsidP="00302E0C">
            <w:pPr>
              <w:pStyle w:val="Para3"/>
              <w:numPr>
                <w:ilvl w:val="0"/>
                <w:numId w:val="0"/>
              </w:numPr>
              <w:rPr>
                <w:i w:val="0"/>
                <w:sz w:val="20"/>
                <w:szCs w:val="20"/>
              </w:rPr>
            </w:pPr>
            <w:r>
              <w:rPr>
                <w:i w:val="0"/>
                <w:sz w:val="20"/>
                <w:szCs w:val="20"/>
              </w:rPr>
              <w:t>Option A</w:t>
            </w:r>
          </w:p>
        </w:tc>
        <w:tc>
          <w:tcPr>
            <w:tcW w:w="2906" w:type="dxa"/>
          </w:tcPr>
          <w:p w:rsidR="00D4006A" w:rsidRDefault="00D4006A" w:rsidP="00D4006A">
            <w:pPr>
              <w:pStyle w:val="Para3"/>
              <w:numPr>
                <w:ilvl w:val="0"/>
                <w:numId w:val="0"/>
              </w:numPr>
              <w:rPr>
                <w:i w:val="0"/>
                <w:sz w:val="20"/>
                <w:szCs w:val="20"/>
              </w:rPr>
            </w:pPr>
            <w:r>
              <w:rPr>
                <w:i w:val="0"/>
                <w:sz w:val="20"/>
                <w:szCs w:val="20"/>
              </w:rPr>
              <w:t>93% to 98%</w:t>
            </w:r>
          </w:p>
        </w:tc>
        <w:tc>
          <w:tcPr>
            <w:tcW w:w="2906" w:type="dxa"/>
          </w:tcPr>
          <w:p w:rsidR="00D4006A" w:rsidRDefault="00D4006A" w:rsidP="00302E0C">
            <w:pPr>
              <w:pStyle w:val="Para3"/>
              <w:numPr>
                <w:ilvl w:val="0"/>
                <w:numId w:val="0"/>
              </w:numPr>
              <w:rPr>
                <w:i w:val="0"/>
                <w:sz w:val="20"/>
                <w:szCs w:val="20"/>
              </w:rPr>
            </w:pPr>
            <w:r>
              <w:rPr>
                <w:i w:val="0"/>
                <w:sz w:val="20"/>
                <w:szCs w:val="20"/>
              </w:rPr>
              <w:t>7% to 2%</w:t>
            </w:r>
          </w:p>
        </w:tc>
      </w:tr>
      <w:tr w:rsidR="00D4006A" w:rsidTr="00D4006A">
        <w:tc>
          <w:tcPr>
            <w:tcW w:w="1838" w:type="dxa"/>
          </w:tcPr>
          <w:p w:rsidR="00D4006A" w:rsidRDefault="00D4006A" w:rsidP="00302E0C">
            <w:pPr>
              <w:pStyle w:val="Para3"/>
              <w:numPr>
                <w:ilvl w:val="0"/>
                <w:numId w:val="0"/>
              </w:numPr>
              <w:rPr>
                <w:i w:val="0"/>
                <w:sz w:val="20"/>
                <w:szCs w:val="20"/>
              </w:rPr>
            </w:pPr>
            <w:r>
              <w:rPr>
                <w:i w:val="0"/>
                <w:sz w:val="20"/>
                <w:szCs w:val="20"/>
              </w:rPr>
              <w:t>Option B</w:t>
            </w:r>
          </w:p>
        </w:tc>
        <w:tc>
          <w:tcPr>
            <w:tcW w:w="2906" w:type="dxa"/>
          </w:tcPr>
          <w:p w:rsidR="00D4006A" w:rsidRDefault="00D4006A" w:rsidP="00302E0C">
            <w:pPr>
              <w:pStyle w:val="Para3"/>
              <w:numPr>
                <w:ilvl w:val="0"/>
                <w:numId w:val="0"/>
              </w:numPr>
              <w:rPr>
                <w:i w:val="0"/>
                <w:sz w:val="20"/>
                <w:szCs w:val="20"/>
              </w:rPr>
            </w:pPr>
            <w:r w:rsidRPr="00C56982">
              <w:rPr>
                <w:i w:val="0"/>
                <w:sz w:val="20"/>
                <w:szCs w:val="20"/>
              </w:rPr>
              <w:t>9</w:t>
            </w:r>
            <w:r>
              <w:rPr>
                <w:i w:val="0"/>
                <w:sz w:val="20"/>
                <w:szCs w:val="20"/>
              </w:rPr>
              <w:t>5</w:t>
            </w:r>
            <w:r w:rsidRPr="00C56982">
              <w:rPr>
                <w:i w:val="0"/>
                <w:sz w:val="20"/>
                <w:szCs w:val="20"/>
              </w:rPr>
              <w:t>%</w:t>
            </w:r>
            <w:r>
              <w:rPr>
                <w:i w:val="0"/>
                <w:sz w:val="20"/>
                <w:szCs w:val="20"/>
              </w:rPr>
              <w:t xml:space="preserve"> to 98%</w:t>
            </w:r>
          </w:p>
        </w:tc>
        <w:tc>
          <w:tcPr>
            <w:tcW w:w="2906" w:type="dxa"/>
          </w:tcPr>
          <w:p w:rsidR="00D4006A" w:rsidRDefault="00D4006A" w:rsidP="00302E0C">
            <w:pPr>
              <w:pStyle w:val="Para3"/>
              <w:numPr>
                <w:ilvl w:val="0"/>
                <w:numId w:val="0"/>
              </w:numPr>
              <w:rPr>
                <w:i w:val="0"/>
                <w:sz w:val="20"/>
                <w:szCs w:val="20"/>
              </w:rPr>
            </w:pPr>
            <w:r>
              <w:rPr>
                <w:i w:val="0"/>
                <w:sz w:val="20"/>
                <w:szCs w:val="20"/>
              </w:rPr>
              <w:t>5% to 2%</w:t>
            </w:r>
          </w:p>
        </w:tc>
      </w:tr>
      <w:tr w:rsidR="00D4006A" w:rsidTr="00D4006A">
        <w:tc>
          <w:tcPr>
            <w:tcW w:w="1838" w:type="dxa"/>
          </w:tcPr>
          <w:p w:rsidR="00D4006A" w:rsidRDefault="00D4006A" w:rsidP="00302E0C">
            <w:pPr>
              <w:pStyle w:val="Para3"/>
              <w:numPr>
                <w:ilvl w:val="0"/>
                <w:numId w:val="0"/>
              </w:numPr>
              <w:rPr>
                <w:i w:val="0"/>
                <w:sz w:val="20"/>
                <w:szCs w:val="20"/>
              </w:rPr>
            </w:pPr>
            <w:r>
              <w:rPr>
                <w:i w:val="0"/>
                <w:sz w:val="20"/>
                <w:szCs w:val="20"/>
              </w:rPr>
              <w:t>Option C</w:t>
            </w:r>
          </w:p>
        </w:tc>
        <w:tc>
          <w:tcPr>
            <w:tcW w:w="2906" w:type="dxa"/>
          </w:tcPr>
          <w:p w:rsidR="00D4006A" w:rsidRDefault="00D4006A" w:rsidP="00302E0C">
            <w:pPr>
              <w:pStyle w:val="Para3"/>
              <w:numPr>
                <w:ilvl w:val="0"/>
                <w:numId w:val="0"/>
              </w:numPr>
              <w:rPr>
                <w:i w:val="0"/>
                <w:sz w:val="20"/>
                <w:szCs w:val="20"/>
              </w:rPr>
            </w:pPr>
            <w:r>
              <w:rPr>
                <w:i w:val="0"/>
                <w:sz w:val="20"/>
                <w:szCs w:val="20"/>
              </w:rPr>
              <w:t>87</w:t>
            </w:r>
            <w:r w:rsidRPr="00C56982">
              <w:rPr>
                <w:i w:val="0"/>
                <w:sz w:val="20"/>
                <w:szCs w:val="20"/>
              </w:rPr>
              <w:t>%</w:t>
            </w:r>
            <w:r>
              <w:rPr>
                <w:i w:val="0"/>
                <w:sz w:val="20"/>
                <w:szCs w:val="20"/>
              </w:rPr>
              <w:t xml:space="preserve"> to 95%</w:t>
            </w:r>
          </w:p>
        </w:tc>
        <w:tc>
          <w:tcPr>
            <w:tcW w:w="2906" w:type="dxa"/>
          </w:tcPr>
          <w:p w:rsidR="00D4006A" w:rsidRDefault="00D4006A" w:rsidP="00302E0C">
            <w:pPr>
              <w:pStyle w:val="Para3"/>
              <w:numPr>
                <w:ilvl w:val="0"/>
                <w:numId w:val="0"/>
              </w:numPr>
              <w:rPr>
                <w:i w:val="0"/>
                <w:sz w:val="20"/>
                <w:szCs w:val="20"/>
              </w:rPr>
            </w:pPr>
            <w:r>
              <w:rPr>
                <w:i w:val="0"/>
                <w:sz w:val="20"/>
                <w:szCs w:val="20"/>
              </w:rPr>
              <w:t>13% to 5%</w:t>
            </w:r>
          </w:p>
        </w:tc>
      </w:tr>
    </w:tbl>
    <w:p w:rsidR="00C56982" w:rsidRPr="00C56982" w:rsidRDefault="00C56982" w:rsidP="00C56982">
      <w:pPr>
        <w:pStyle w:val="Para3"/>
        <w:numPr>
          <w:ilvl w:val="0"/>
          <w:numId w:val="0"/>
        </w:numPr>
        <w:ind w:left="680"/>
        <w:rPr>
          <w:i w:val="0"/>
          <w:sz w:val="20"/>
          <w:szCs w:val="20"/>
        </w:rPr>
      </w:pPr>
    </w:p>
    <w:p w:rsidR="00302E0C" w:rsidRDefault="00302E0C" w:rsidP="00C56982">
      <w:pPr>
        <w:pStyle w:val="Para3"/>
        <w:numPr>
          <w:ilvl w:val="2"/>
          <w:numId w:val="10"/>
        </w:numPr>
        <w:tabs>
          <w:tab w:val="clear" w:pos="1440"/>
          <w:tab w:val="num" w:pos="709"/>
        </w:tabs>
        <w:rPr>
          <w:i w:val="0"/>
          <w:sz w:val="20"/>
          <w:szCs w:val="20"/>
        </w:rPr>
      </w:pPr>
      <w:r>
        <w:rPr>
          <w:i w:val="0"/>
          <w:sz w:val="20"/>
          <w:szCs w:val="20"/>
        </w:rPr>
        <w:t xml:space="preserve">It is noted that the costs allocated to a bridge structure are generally towards the lower end of the range when compared against other crossing structures, such as </w:t>
      </w:r>
      <w:r w:rsidR="003C12D8">
        <w:rPr>
          <w:i w:val="0"/>
          <w:sz w:val="20"/>
          <w:szCs w:val="20"/>
        </w:rPr>
        <w:t>an</w:t>
      </w:r>
      <w:r>
        <w:rPr>
          <w:i w:val="0"/>
          <w:sz w:val="20"/>
          <w:szCs w:val="20"/>
        </w:rPr>
        <w:t xml:space="preserve"> immersed or bored tunnel.</w:t>
      </w:r>
    </w:p>
    <w:p w:rsidR="00C56982" w:rsidRDefault="00C56982" w:rsidP="00C56982">
      <w:pPr>
        <w:pStyle w:val="Para3"/>
        <w:numPr>
          <w:ilvl w:val="2"/>
          <w:numId w:val="10"/>
        </w:numPr>
        <w:tabs>
          <w:tab w:val="clear" w:pos="1440"/>
          <w:tab w:val="num" w:pos="709"/>
        </w:tabs>
        <w:rPr>
          <w:i w:val="0"/>
          <w:sz w:val="20"/>
          <w:szCs w:val="20"/>
        </w:rPr>
      </w:pPr>
      <w:r w:rsidRPr="00C56982">
        <w:rPr>
          <w:i w:val="0"/>
          <w:sz w:val="20"/>
          <w:szCs w:val="20"/>
        </w:rPr>
        <w:t xml:space="preserve">Given the scale of </w:t>
      </w:r>
      <w:r w:rsidR="003C12D8">
        <w:rPr>
          <w:i w:val="0"/>
          <w:sz w:val="20"/>
          <w:szCs w:val="20"/>
        </w:rPr>
        <w:t>operating and maintenance c</w:t>
      </w:r>
      <w:r w:rsidRPr="00C56982">
        <w:rPr>
          <w:i w:val="0"/>
          <w:sz w:val="20"/>
          <w:szCs w:val="20"/>
        </w:rPr>
        <w:t xml:space="preserve">osts in proportion to capital costs and the conclusion that the vast majority of cost is attributed to the structure, we would suggest a simplification of allocating all </w:t>
      </w:r>
      <w:r w:rsidR="003C12D8">
        <w:rPr>
          <w:i w:val="0"/>
          <w:sz w:val="20"/>
          <w:szCs w:val="20"/>
        </w:rPr>
        <w:t xml:space="preserve">operating and maintenance </w:t>
      </w:r>
      <w:r w:rsidRPr="00C56982">
        <w:rPr>
          <w:i w:val="0"/>
          <w:sz w:val="20"/>
          <w:szCs w:val="20"/>
        </w:rPr>
        <w:t>costs to the structure for the purposes of testing whether revenues cover structure only costs.</w:t>
      </w:r>
    </w:p>
    <w:p w:rsidR="00F44296" w:rsidRDefault="00F44296" w:rsidP="00F44296">
      <w:pPr>
        <w:pStyle w:val="Para3"/>
        <w:numPr>
          <w:ilvl w:val="0"/>
          <w:numId w:val="0"/>
        </w:numPr>
        <w:ind w:left="680"/>
        <w:rPr>
          <w:i w:val="0"/>
          <w:sz w:val="20"/>
          <w:szCs w:val="20"/>
        </w:rPr>
      </w:pPr>
    </w:p>
    <w:p w:rsidR="00F44296" w:rsidRPr="00901D7B" w:rsidRDefault="00F44296" w:rsidP="00F44296">
      <w:pPr>
        <w:pStyle w:val="Hdg2"/>
        <w:numPr>
          <w:ilvl w:val="1"/>
          <w:numId w:val="10"/>
        </w:numPr>
        <w:spacing w:after="120"/>
        <w:rPr>
          <w:sz w:val="20"/>
          <w:szCs w:val="20"/>
        </w:rPr>
      </w:pPr>
      <w:bookmarkStart w:id="55" w:name="_Toc341694627"/>
      <w:r>
        <w:rPr>
          <w:sz w:val="20"/>
          <w:szCs w:val="20"/>
        </w:rPr>
        <w:t>Renewal Operating and Maintenance Costs</w:t>
      </w:r>
      <w:bookmarkEnd w:id="55"/>
    </w:p>
    <w:p w:rsidR="00C56982" w:rsidRPr="00C56982" w:rsidRDefault="00C56982" w:rsidP="00C56982">
      <w:pPr>
        <w:pStyle w:val="Para3"/>
        <w:numPr>
          <w:ilvl w:val="2"/>
          <w:numId w:val="10"/>
        </w:numPr>
        <w:tabs>
          <w:tab w:val="clear" w:pos="1440"/>
          <w:tab w:val="num" w:pos="709"/>
        </w:tabs>
        <w:rPr>
          <w:i w:val="0"/>
          <w:sz w:val="20"/>
          <w:szCs w:val="20"/>
        </w:rPr>
      </w:pPr>
      <w:r w:rsidRPr="00C56982">
        <w:rPr>
          <w:i w:val="0"/>
          <w:sz w:val="20"/>
          <w:szCs w:val="20"/>
        </w:rPr>
        <w:t>In respect of renewal maintenance costs, we estimate that the costs would be allocated between the structure and the link roads as follows</w:t>
      </w:r>
      <w:r w:rsidR="003C12D8">
        <w:rPr>
          <w:i w:val="0"/>
          <w:sz w:val="20"/>
          <w:szCs w:val="20"/>
        </w:rPr>
        <w:t>:</w:t>
      </w:r>
    </w:p>
    <w:p w:rsidR="00D4006A" w:rsidRPr="003C12D8" w:rsidRDefault="00D4006A" w:rsidP="00C56982">
      <w:pPr>
        <w:pStyle w:val="Para3"/>
        <w:numPr>
          <w:ilvl w:val="0"/>
          <w:numId w:val="0"/>
        </w:numPr>
        <w:ind w:left="680"/>
        <w:rPr>
          <w:b/>
          <w:i w:val="0"/>
          <w:sz w:val="20"/>
          <w:szCs w:val="20"/>
        </w:rPr>
      </w:pPr>
      <w:r w:rsidRPr="003C12D8">
        <w:rPr>
          <w:b/>
          <w:i w:val="0"/>
          <w:sz w:val="20"/>
          <w:szCs w:val="20"/>
        </w:rPr>
        <w:t>Table 5:</w:t>
      </w:r>
      <w:r w:rsidR="00F44296">
        <w:rPr>
          <w:b/>
          <w:i w:val="0"/>
          <w:sz w:val="20"/>
          <w:szCs w:val="20"/>
        </w:rPr>
        <w:t xml:space="preserve"> </w:t>
      </w:r>
      <w:r w:rsidR="003C12D8" w:rsidRPr="003C12D8">
        <w:rPr>
          <w:b/>
          <w:i w:val="0"/>
          <w:sz w:val="20"/>
          <w:szCs w:val="20"/>
        </w:rPr>
        <w:t>Renewal Maintenance Cost Range Splits</w:t>
      </w:r>
    </w:p>
    <w:tbl>
      <w:tblPr>
        <w:tblStyle w:val="TableGrid"/>
        <w:tblW w:w="0" w:type="auto"/>
        <w:tblInd w:w="680" w:type="dxa"/>
        <w:tblLook w:val="04A0"/>
      </w:tblPr>
      <w:tblGrid>
        <w:gridCol w:w="1838"/>
        <w:gridCol w:w="2906"/>
        <w:gridCol w:w="2906"/>
      </w:tblGrid>
      <w:tr w:rsidR="00D4006A" w:rsidTr="00D4006A">
        <w:tc>
          <w:tcPr>
            <w:tcW w:w="1838" w:type="dxa"/>
          </w:tcPr>
          <w:p w:rsidR="00D4006A" w:rsidRDefault="00D4006A" w:rsidP="00D4006A">
            <w:pPr>
              <w:pStyle w:val="Para3"/>
              <w:numPr>
                <w:ilvl w:val="0"/>
                <w:numId w:val="0"/>
              </w:numPr>
              <w:rPr>
                <w:i w:val="0"/>
                <w:sz w:val="20"/>
                <w:szCs w:val="20"/>
              </w:rPr>
            </w:pPr>
            <w:r>
              <w:rPr>
                <w:i w:val="0"/>
                <w:sz w:val="20"/>
                <w:szCs w:val="20"/>
              </w:rPr>
              <w:t>Crossing Option</w:t>
            </w:r>
          </w:p>
        </w:tc>
        <w:tc>
          <w:tcPr>
            <w:tcW w:w="2906" w:type="dxa"/>
          </w:tcPr>
          <w:p w:rsidR="00D4006A" w:rsidRDefault="00D4006A" w:rsidP="00D4006A">
            <w:pPr>
              <w:pStyle w:val="Para3"/>
              <w:numPr>
                <w:ilvl w:val="0"/>
                <w:numId w:val="0"/>
              </w:numPr>
              <w:rPr>
                <w:i w:val="0"/>
                <w:sz w:val="20"/>
                <w:szCs w:val="20"/>
              </w:rPr>
            </w:pPr>
            <w:r>
              <w:rPr>
                <w:i w:val="0"/>
                <w:sz w:val="20"/>
                <w:szCs w:val="20"/>
              </w:rPr>
              <w:t>Range of costs allocated to Structure</w:t>
            </w:r>
          </w:p>
        </w:tc>
        <w:tc>
          <w:tcPr>
            <w:tcW w:w="2906" w:type="dxa"/>
          </w:tcPr>
          <w:p w:rsidR="00D4006A" w:rsidRDefault="00D4006A" w:rsidP="00D4006A">
            <w:pPr>
              <w:pStyle w:val="Para3"/>
              <w:numPr>
                <w:ilvl w:val="0"/>
                <w:numId w:val="0"/>
              </w:numPr>
              <w:rPr>
                <w:i w:val="0"/>
                <w:sz w:val="20"/>
                <w:szCs w:val="20"/>
              </w:rPr>
            </w:pPr>
            <w:r>
              <w:rPr>
                <w:i w:val="0"/>
                <w:sz w:val="20"/>
                <w:szCs w:val="20"/>
              </w:rPr>
              <w:t>Range of costs allocated to link roads</w:t>
            </w:r>
          </w:p>
        </w:tc>
      </w:tr>
      <w:tr w:rsidR="00D4006A" w:rsidTr="00D4006A">
        <w:tc>
          <w:tcPr>
            <w:tcW w:w="1838" w:type="dxa"/>
          </w:tcPr>
          <w:p w:rsidR="00D4006A" w:rsidRDefault="00D4006A" w:rsidP="00D4006A">
            <w:pPr>
              <w:pStyle w:val="Para3"/>
              <w:numPr>
                <w:ilvl w:val="0"/>
                <w:numId w:val="0"/>
              </w:numPr>
              <w:rPr>
                <w:i w:val="0"/>
                <w:sz w:val="20"/>
                <w:szCs w:val="20"/>
              </w:rPr>
            </w:pPr>
            <w:r>
              <w:rPr>
                <w:i w:val="0"/>
                <w:sz w:val="20"/>
                <w:szCs w:val="20"/>
              </w:rPr>
              <w:t>Option A</w:t>
            </w:r>
          </w:p>
        </w:tc>
        <w:tc>
          <w:tcPr>
            <w:tcW w:w="2906" w:type="dxa"/>
          </w:tcPr>
          <w:p w:rsidR="00D4006A" w:rsidRDefault="00D4006A" w:rsidP="00D4006A">
            <w:pPr>
              <w:pStyle w:val="Para3"/>
              <w:numPr>
                <w:ilvl w:val="0"/>
                <w:numId w:val="0"/>
              </w:numPr>
              <w:rPr>
                <w:i w:val="0"/>
                <w:sz w:val="20"/>
                <w:szCs w:val="20"/>
              </w:rPr>
            </w:pPr>
            <w:r>
              <w:rPr>
                <w:i w:val="0"/>
                <w:sz w:val="20"/>
                <w:szCs w:val="20"/>
              </w:rPr>
              <w:t>60% to 75%</w:t>
            </w:r>
          </w:p>
        </w:tc>
        <w:tc>
          <w:tcPr>
            <w:tcW w:w="2906" w:type="dxa"/>
          </w:tcPr>
          <w:p w:rsidR="00D4006A" w:rsidRDefault="00D4006A" w:rsidP="00D4006A">
            <w:pPr>
              <w:pStyle w:val="Para3"/>
              <w:numPr>
                <w:ilvl w:val="0"/>
                <w:numId w:val="0"/>
              </w:numPr>
              <w:rPr>
                <w:i w:val="0"/>
                <w:sz w:val="20"/>
                <w:szCs w:val="20"/>
              </w:rPr>
            </w:pPr>
            <w:r>
              <w:rPr>
                <w:i w:val="0"/>
                <w:sz w:val="20"/>
                <w:szCs w:val="20"/>
              </w:rPr>
              <w:t>25% to 40%</w:t>
            </w:r>
          </w:p>
        </w:tc>
      </w:tr>
      <w:tr w:rsidR="00D4006A" w:rsidTr="00D4006A">
        <w:tc>
          <w:tcPr>
            <w:tcW w:w="1838" w:type="dxa"/>
          </w:tcPr>
          <w:p w:rsidR="00D4006A" w:rsidRDefault="00D4006A" w:rsidP="00D4006A">
            <w:pPr>
              <w:pStyle w:val="Para3"/>
              <w:numPr>
                <w:ilvl w:val="0"/>
                <w:numId w:val="0"/>
              </w:numPr>
              <w:rPr>
                <w:i w:val="0"/>
                <w:sz w:val="20"/>
                <w:szCs w:val="20"/>
              </w:rPr>
            </w:pPr>
            <w:r>
              <w:rPr>
                <w:i w:val="0"/>
                <w:sz w:val="20"/>
                <w:szCs w:val="20"/>
              </w:rPr>
              <w:t>Option B</w:t>
            </w:r>
          </w:p>
        </w:tc>
        <w:tc>
          <w:tcPr>
            <w:tcW w:w="2906" w:type="dxa"/>
          </w:tcPr>
          <w:p w:rsidR="00D4006A" w:rsidRDefault="00D4006A" w:rsidP="00D4006A">
            <w:pPr>
              <w:pStyle w:val="Para3"/>
              <w:numPr>
                <w:ilvl w:val="0"/>
                <w:numId w:val="0"/>
              </w:numPr>
              <w:rPr>
                <w:i w:val="0"/>
                <w:sz w:val="20"/>
                <w:szCs w:val="20"/>
              </w:rPr>
            </w:pPr>
            <w:r>
              <w:rPr>
                <w:i w:val="0"/>
                <w:sz w:val="20"/>
                <w:szCs w:val="20"/>
              </w:rPr>
              <w:t>60% to 65%</w:t>
            </w:r>
          </w:p>
        </w:tc>
        <w:tc>
          <w:tcPr>
            <w:tcW w:w="2906" w:type="dxa"/>
          </w:tcPr>
          <w:p w:rsidR="00D4006A" w:rsidRDefault="00D4006A" w:rsidP="00D4006A">
            <w:pPr>
              <w:pStyle w:val="Para3"/>
              <w:numPr>
                <w:ilvl w:val="0"/>
                <w:numId w:val="0"/>
              </w:numPr>
              <w:rPr>
                <w:i w:val="0"/>
                <w:sz w:val="20"/>
                <w:szCs w:val="20"/>
              </w:rPr>
            </w:pPr>
            <w:r>
              <w:rPr>
                <w:i w:val="0"/>
                <w:sz w:val="20"/>
                <w:szCs w:val="20"/>
              </w:rPr>
              <w:t>35% to 40%</w:t>
            </w:r>
          </w:p>
        </w:tc>
      </w:tr>
      <w:tr w:rsidR="00D4006A" w:rsidTr="00D4006A">
        <w:tc>
          <w:tcPr>
            <w:tcW w:w="1838" w:type="dxa"/>
          </w:tcPr>
          <w:p w:rsidR="00D4006A" w:rsidRDefault="00D4006A" w:rsidP="00D4006A">
            <w:pPr>
              <w:pStyle w:val="Para3"/>
              <w:numPr>
                <w:ilvl w:val="0"/>
                <w:numId w:val="0"/>
              </w:numPr>
              <w:rPr>
                <w:i w:val="0"/>
                <w:sz w:val="20"/>
                <w:szCs w:val="20"/>
              </w:rPr>
            </w:pPr>
            <w:r>
              <w:rPr>
                <w:i w:val="0"/>
                <w:sz w:val="20"/>
                <w:szCs w:val="20"/>
              </w:rPr>
              <w:t>Option C</w:t>
            </w:r>
          </w:p>
        </w:tc>
        <w:tc>
          <w:tcPr>
            <w:tcW w:w="2906" w:type="dxa"/>
          </w:tcPr>
          <w:p w:rsidR="00D4006A" w:rsidRDefault="00D4006A" w:rsidP="00D4006A">
            <w:pPr>
              <w:pStyle w:val="Para3"/>
              <w:numPr>
                <w:ilvl w:val="0"/>
                <w:numId w:val="0"/>
              </w:numPr>
              <w:rPr>
                <w:i w:val="0"/>
                <w:sz w:val="20"/>
                <w:szCs w:val="20"/>
              </w:rPr>
            </w:pPr>
            <w:r>
              <w:rPr>
                <w:i w:val="0"/>
                <w:sz w:val="20"/>
                <w:szCs w:val="20"/>
              </w:rPr>
              <w:t>35% to 50%</w:t>
            </w:r>
          </w:p>
        </w:tc>
        <w:tc>
          <w:tcPr>
            <w:tcW w:w="2906" w:type="dxa"/>
          </w:tcPr>
          <w:p w:rsidR="00D4006A" w:rsidRDefault="00D4006A" w:rsidP="00D4006A">
            <w:pPr>
              <w:pStyle w:val="Para3"/>
              <w:numPr>
                <w:ilvl w:val="0"/>
                <w:numId w:val="0"/>
              </w:numPr>
              <w:rPr>
                <w:i w:val="0"/>
                <w:sz w:val="20"/>
                <w:szCs w:val="20"/>
              </w:rPr>
            </w:pPr>
            <w:r>
              <w:rPr>
                <w:i w:val="0"/>
                <w:sz w:val="20"/>
                <w:szCs w:val="20"/>
              </w:rPr>
              <w:t>50% to 65%</w:t>
            </w:r>
          </w:p>
        </w:tc>
      </w:tr>
    </w:tbl>
    <w:p w:rsidR="00D4006A" w:rsidRPr="00C56982" w:rsidRDefault="00D4006A" w:rsidP="00C56982">
      <w:pPr>
        <w:pStyle w:val="Para3"/>
        <w:numPr>
          <w:ilvl w:val="0"/>
          <w:numId w:val="0"/>
        </w:numPr>
        <w:ind w:left="680"/>
        <w:rPr>
          <w:i w:val="0"/>
          <w:sz w:val="20"/>
          <w:szCs w:val="20"/>
        </w:rPr>
      </w:pPr>
    </w:p>
    <w:p w:rsidR="00C56982" w:rsidRPr="00C56982" w:rsidRDefault="00C56982" w:rsidP="00C56982">
      <w:pPr>
        <w:pStyle w:val="Para3"/>
        <w:numPr>
          <w:ilvl w:val="2"/>
          <w:numId w:val="10"/>
        </w:numPr>
        <w:tabs>
          <w:tab w:val="clear" w:pos="1440"/>
          <w:tab w:val="num" w:pos="709"/>
        </w:tabs>
        <w:rPr>
          <w:i w:val="0"/>
          <w:sz w:val="20"/>
          <w:szCs w:val="20"/>
        </w:rPr>
      </w:pPr>
      <w:r>
        <w:rPr>
          <w:i w:val="0"/>
          <w:sz w:val="20"/>
          <w:szCs w:val="20"/>
        </w:rPr>
        <w:t>By considering the above</w:t>
      </w:r>
      <w:r w:rsidR="00D4006A">
        <w:rPr>
          <w:i w:val="0"/>
          <w:sz w:val="20"/>
          <w:szCs w:val="20"/>
        </w:rPr>
        <w:t>,</w:t>
      </w:r>
      <w:r w:rsidRPr="00C56982">
        <w:rPr>
          <w:i w:val="0"/>
          <w:sz w:val="20"/>
          <w:szCs w:val="20"/>
        </w:rPr>
        <w:t xml:space="preserve"> 65% of renewa</w:t>
      </w:r>
      <w:r>
        <w:rPr>
          <w:i w:val="0"/>
          <w:sz w:val="20"/>
          <w:szCs w:val="20"/>
        </w:rPr>
        <w:t>ls costs should be assumed for O</w:t>
      </w:r>
      <w:r w:rsidRPr="00C56982">
        <w:rPr>
          <w:i w:val="0"/>
          <w:sz w:val="20"/>
          <w:szCs w:val="20"/>
        </w:rPr>
        <w:t xml:space="preserve">ptions A and B and 45% for </w:t>
      </w:r>
      <w:r>
        <w:rPr>
          <w:i w:val="0"/>
          <w:sz w:val="20"/>
          <w:szCs w:val="20"/>
        </w:rPr>
        <w:t>O</w:t>
      </w:r>
      <w:r w:rsidRPr="00C56982">
        <w:rPr>
          <w:i w:val="0"/>
          <w:sz w:val="20"/>
          <w:szCs w:val="20"/>
        </w:rPr>
        <w:t>ption C for financial assessment</w:t>
      </w:r>
      <w:r>
        <w:rPr>
          <w:i w:val="0"/>
          <w:sz w:val="20"/>
          <w:szCs w:val="20"/>
        </w:rPr>
        <w:t xml:space="preserve">.  This </w:t>
      </w:r>
      <w:r w:rsidRPr="00C56982">
        <w:rPr>
          <w:i w:val="0"/>
          <w:sz w:val="20"/>
          <w:szCs w:val="20"/>
        </w:rPr>
        <w:t>reflect</w:t>
      </w:r>
      <w:r>
        <w:rPr>
          <w:i w:val="0"/>
          <w:sz w:val="20"/>
          <w:szCs w:val="20"/>
        </w:rPr>
        <w:t>s</w:t>
      </w:r>
      <w:r w:rsidRPr="00C56982">
        <w:rPr>
          <w:i w:val="0"/>
          <w:sz w:val="20"/>
          <w:szCs w:val="20"/>
        </w:rPr>
        <w:t xml:space="preserve"> the uncertainties </w:t>
      </w:r>
      <w:r>
        <w:rPr>
          <w:i w:val="0"/>
          <w:sz w:val="20"/>
          <w:szCs w:val="20"/>
        </w:rPr>
        <w:t xml:space="preserve">at this stage </w:t>
      </w:r>
      <w:r w:rsidRPr="00C56982">
        <w:rPr>
          <w:i w:val="0"/>
          <w:sz w:val="20"/>
          <w:szCs w:val="20"/>
        </w:rPr>
        <w:t>and the relatively small costs for renewals compared with initial capital costs.</w:t>
      </w:r>
    </w:p>
    <w:p w:rsidR="00302E0C" w:rsidRDefault="00302E0C" w:rsidP="00C56982">
      <w:pPr>
        <w:pStyle w:val="Para3"/>
        <w:numPr>
          <w:ilvl w:val="0"/>
          <w:numId w:val="0"/>
        </w:numPr>
        <w:ind w:left="680"/>
        <w:rPr>
          <w:i w:val="0"/>
          <w:sz w:val="20"/>
          <w:szCs w:val="20"/>
        </w:rPr>
      </w:pPr>
    </w:p>
    <w:p w:rsidR="007A378A" w:rsidRDefault="007A378A" w:rsidP="00F96876">
      <w:pPr>
        <w:pStyle w:val="Body"/>
        <w:rPr>
          <w:sz w:val="20"/>
          <w:szCs w:val="20"/>
        </w:rPr>
      </w:pPr>
    </w:p>
    <w:p w:rsidR="007A378A" w:rsidRPr="001279C6" w:rsidRDefault="007A378A" w:rsidP="0039632B">
      <w:pPr>
        <w:pStyle w:val="Body"/>
        <w:rPr>
          <w:sz w:val="20"/>
          <w:szCs w:val="20"/>
        </w:rPr>
        <w:sectPr w:rsidR="007A378A" w:rsidRPr="001279C6" w:rsidSect="007323AF">
          <w:headerReference w:type="default" r:id="rId29"/>
          <w:pgSz w:w="11907" w:h="16840" w:code="9"/>
          <w:pgMar w:top="-1985" w:right="709" w:bottom="1729" w:left="907" w:header="357" w:footer="567" w:gutter="0"/>
          <w:cols w:space="187"/>
          <w:docGrid w:linePitch="360"/>
        </w:sectPr>
      </w:pPr>
    </w:p>
    <w:p w:rsidR="007A378A" w:rsidRPr="001279C6" w:rsidRDefault="007A378A" w:rsidP="0039632B">
      <w:pPr>
        <w:pStyle w:val="SecDivider"/>
      </w:pPr>
      <w:r>
        <w:lastRenderedPageBreak/>
        <w:t xml:space="preserve">Revenue </w:t>
      </w:r>
    </w:p>
    <w:p w:rsidR="007A378A" w:rsidRPr="001279C6" w:rsidRDefault="007A378A" w:rsidP="0039632B">
      <w:pPr>
        <w:pStyle w:val="SecDividerBody"/>
        <w:rPr>
          <w:sz w:val="20"/>
          <w:szCs w:val="20"/>
        </w:rPr>
      </w:pPr>
    </w:p>
    <w:p w:rsidR="007A378A" w:rsidRPr="001279C6" w:rsidRDefault="007A378A" w:rsidP="0039632B">
      <w:pPr>
        <w:pStyle w:val="Body"/>
        <w:rPr>
          <w:sz w:val="20"/>
          <w:szCs w:val="20"/>
        </w:rPr>
      </w:pPr>
    </w:p>
    <w:p w:rsidR="007A378A" w:rsidRPr="001279C6" w:rsidRDefault="007A378A" w:rsidP="0039632B">
      <w:pPr>
        <w:pStyle w:val="Body"/>
        <w:rPr>
          <w:sz w:val="20"/>
          <w:szCs w:val="20"/>
        </w:rPr>
        <w:sectPr w:rsidR="007A378A" w:rsidRPr="001279C6" w:rsidSect="007323AF">
          <w:headerReference w:type="default" r:id="rId30"/>
          <w:footerReference w:type="default" r:id="rId31"/>
          <w:pgSz w:w="11907" w:h="16840" w:code="9"/>
          <w:pgMar w:top="-3640" w:right="709" w:bottom="1729" w:left="6146" w:header="357" w:footer="567" w:gutter="0"/>
          <w:cols w:space="720"/>
          <w:docGrid w:linePitch="360"/>
        </w:sectPr>
      </w:pPr>
    </w:p>
    <w:p w:rsidR="007A378A" w:rsidRPr="001279C6" w:rsidRDefault="007A378A" w:rsidP="0039632B">
      <w:pPr>
        <w:pStyle w:val="Hdg1"/>
        <w:framePr w:wrap="notBeside" w:hAnchor="page" w:x="857" w:y="1577"/>
        <w:numPr>
          <w:ilvl w:val="0"/>
          <w:numId w:val="10"/>
        </w:numPr>
      </w:pPr>
      <w:bookmarkStart w:id="56" w:name="_Toc341694628"/>
      <w:r>
        <w:lastRenderedPageBreak/>
        <w:t>Revenue</w:t>
      </w:r>
      <w:bookmarkEnd w:id="56"/>
      <w:r>
        <w:t xml:space="preserve"> </w:t>
      </w:r>
    </w:p>
    <w:p w:rsidR="007A378A" w:rsidRPr="00901D7B" w:rsidRDefault="007A378A" w:rsidP="0039632B">
      <w:pPr>
        <w:pStyle w:val="Hdg2"/>
        <w:numPr>
          <w:ilvl w:val="1"/>
          <w:numId w:val="10"/>
        </w:numPr>
        <w:spacing w:after="120"/>
        <w:rPr>
          <w:sz w:val="20"/>
          <w:szCs w:val="20"/>
        </w:rPr>
      </w:pPr>
      <w:bookmarkStart w:id="57" w:name="_Toc341694629"/>
      <w:r w:rsidRPr="00901D7B">
        <w:rPr>
          <w:sz w:val="20"/>
          <w:szCs w:val="20"/>
        </w:rPr>
        <w:t>Introduction</w:t>
      </w:r>
      <w:bookmarkEnd w:id="57"/>
    </w:p>
    <w:p w:rsidR="00302E0C" w:rsidRDefault="007A378A">
      <w:pPr>
        <w:pStyle w:val="Para3"/>
        <w:numPr>
          <w:ilvl w:val="2"/>
          <w:numId w:val="10"/>
        </w:numPr>
        <w:tabs>
          <w:tab w:val="clear" w:pos="1440"/>
          <w:tab w:val="num" w:pos="709"/>
        </w:tabs>
        <w:rPr>
          <w:i w:val="0"/>
          <w:sz w:val="20"/>
          <w:szCs w:val="20"/>
        </w:rPr>
      </w:pPr>
      <w:r w:rsidRPr="0039632B">
        <w:rPr>
          <w:i w:val="0"/>
          <w:sz w:val="20"/>
          <w:szCs w:val="20"/>
        </w:rPr>
        <w:t>Estimation of revenue comprises two steps; estimating flows on the crossings by vehicle class (car, 2-axle other vehicles, and 3+ axle other vehicles), and estimating average toll paid by vehicle class.</w:t>
      </w:r>
      <w:r>
        <w:rPr>
          <w:i w:val="0"/>
          <w:sz w:val="20"/>
          <w:szCs w:val="20"/>
        </w:rPr>
        <w:t xml:space="preserve"> This chapter explains the derivation of average toll paid by vehicle class. </w:t>
      </w:r>
    </w:p>
    <w:p w:rsidR="00F313CD" w:rsidRDefault="00F313CD" w:rsidP="00F313CD">
      <w:pPr>
        <w:pStyle w:val="Para3"/>
        <w:numPr>
          <w:ilvl w:val="0"/>
          <w:numId w:val="0"/>
        </w:numPr>
        <w:ind w:left="680"/>
        <w:rPr>
          <w:i w:val="0"/>
          <w:sz w:val="20"/>
          <w:szCs w:val="20"/>
        </w:rPr>
      </w:pPr>
    </w:p>
    <w:p w:rsidR="00F313CD" w:rsidRPr="00901D7B" w:rsidRDefault="00F313CD" w:rsidP="00F313CD">
      <w:pPr>
        <w:pStyle w:val="Hdg2"/>
        <w:numPr>
          <w:ilvl w:val="1"/>
          <w:numId w:val="10"/>
        </w:numPr>
        <w:spacing w:after="120"/>
        <w:rPr>
          <w:sz w:val="20"/>
          <w:szCs w:val="20"/>
        </w:rPr>
      </w:pPr>
      <w:bookmarkStart w:id="58" w:name="_Toc341694630"/>
      <w:r>
        <w:rPr>
          <w:sz w:val="20"/>
          <w:szCs w:val="20"/>
        </w:rPr>
        <w:t>Estimating Traffic Volumes</w:t>
      </w:r>
      <w:bookmarkEnd w:id="58"/>
      <w:r>
        <w:rPr>
          <w:sz w:val="20"/>
          <w:szCs w:val="20"/>
        </w:rPr>
        <w:t xml:space="preserve"> </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Flows by vehicle class were </w:t>
      </w:r>
      <w:r>
        <w:rPr>
          <w:i w:val="0"/>
          <w:sz w:val="20"/>
          <w:szCs w:val="20"/>
        </w:rPr>
        <w:t>forecast by</w:t>
      </w:r>
      <w:r w:rsidRPr="0039632B">
        <w:rPr>
          <w:i w:val="0"/>
          <w:sz w:val="20"/>
          <w:szCs w:val="20"/>
        </w:rPr>
        <w:t xml:space="preserve"> the model. Cars correspond directly to a modelled segment and user class. The model LGV and HGV (Light and Heavy Good Vehicle) segments were used to estimate flows for the other two pay classes; all LGVs were assumed to be 2 </w:t>
      </w:r>
      <w:proofErr w:type="gramStart"/>
      <w:r w:rsidRPr="0039632B">
        <w:rPr>
          <w:i w:val="0"/>
          <w:sz w:val="20"/>
          <w:szCs w:val="20"/>
        </w:rPr>
        <w:t>axle</w:t>
      </w:r>
      <w:proofErr w:type="gramEnd"/>
      <w:r w:rsidRPr="0039632B">
        <w:rPr>
          <w:i w:val="0"/>
          <w:sz w:val="20"/>
          <w:szCs w:val="20"/>
        </w:rPr>
        <w:t xml:space="preserve">, while a proportion of HGVs (21%) were also assumed to be 2 axle. This value was derived from </w:t>
      </w:r>
      <w:r>
        <w:rPr>
          <w:i w:val="0"/>
          <w:sz w:val="20"/>
          <w:szCs w:val="20"/>
        </w:rPr>
        <w:t xml:space="preserve">analysis of </w:t>
      </w:r>
      <w:r w:rsidRPr="0039632B">
        <w:rPr>
          <w:i w:val="0"/>
          <w:sz w:val="20"/>
          <w:szCs w:val="20"/>
        </w:rPr>
        <w:t>DfT manual classified count data immediately to the north and south of the existing crossing.</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The Crossing is not charged between 10pm and 6am and it is assumed </w:t>
      </w:r>
      <w:r>
        <w:rPr>
          <w:i w:val="0"/>
          <w:sz w:val="20"/>
          <w:szCs w:val="20"/>
        </w:rPr>
        <w:t xml:space="preserve">a </w:t>
      </w:r>
      <w:r w:rsidRPr="0039632B">
        <w:rPr>
          <w:i w:val="0"/>
          <w:sz w:val="20"/>
          <w:szCs w:val="20"/>
        </w:rPr>
        <w:t xml:space="preserve">new crossing will follow the same approach. The annualisation data used to obtain annual flows therefore excludes </w:t>
      </w:r>
      <w:r w:rsidR="00B37D17" w:rsidRPr="0039632B">
        <w:rPr>
          <w:i w:val="0"/>
          <w:sz w:val="20"/>
          <w:szCs w:val="20"/>
        </w:rPr>
        <w:t>night-time</w:t>
      </w:r>
      <w:r w:rsidRPr="0039632B">
        <w:rPr>
          <w:i w:val="0"/>
          <w:sz w:val="20"/>
          <w:szCs w:val="20"/>
        </w:rPr>
        <w:t xml:space="preserve"> travel. The annualisation factors used are </w:t>
      </w:r>
      <w:r>
        <w:rPr>
          <w:i w:val="0"/>
          <w:sz w:val="20"/>
          <w:szCs w:val="20"/>
        </w:rPr>
        <w:t>shown in Table 4</w:t>
      </w:r>
      <w:r w:rsidRPr="0039632B">
        <w:rPr>
          <w:i w:val="0"/>
          <w:sz w:val="20"/>
          <w:szCs w:val="20"/>
        </w:rPr>
        <w:t xml:space="preserve">, derived from Dartford </w:t>
      </w:r>
      <w:r w:rsidR="00820039">
        <w:rPr>
          <w:i w:val="0"/>
          <w:sz w:val="20"/>
          <w:szCs w:val="20"/>
        </w:rPr>
        <w:t>C</w:t>
      </w:r>
      <w:r w:rsidRPr="0039632B">
        <w:rPr>
          <w:i w:val="0"/>
          <w:sz w:val="20"/>
          <w:szCs w:val="20"/>
        </w:rPr>
        <w:t>rossing transaction data:</w:t>
      </w:r>
    </w:p>
    <w:p w:rsidR="007A378A" w:rsidRDefault="007A378A">
      <w:pPr>
        <w:pStyle w:val="Caption"/>
        <w:tabs>
          <w:tab w:val="num" w:pos="709"/>
          <w:tab w:val="left" w:pos="5059"/>
        </w:tabs>
        <w:spacing w:after="120"/>
        <w:rPr>
          <w:b/>
          <w:sz w:val="20"/>
          <w:szCs w:val="20"/>
        </w:rPr>
      </w:pPr>
      <w:r>
        <w:rPr>
          <w:b/>
          <w:sz w:val="20"/>
          <w:szCs w:val="20"/>
        </w:rPr>
        <w:tab/>
      </w:r>
      <w:r w:rsidRPr="009B56E6">
        <w:rPr>
          <w:b/>
          <w:sz w:val="20"/>
          <w:szCs w:val="20"/>
        </w:rPr>
        <w:t>Table</w:t>
      </w:r>
      <w:r>
        <w:rPr>
          <w:b/>
          <w:sz w:val="20"/>
          <w:szCs w:val="20"/>
        </w:rPr>
        <w:t xml:space="preserve"> 4</w:t>
      </w:r>
      <w:r w:rsidRPr="009B56E6">
        <w:rPr>
          <w:b/>
          <w:sz w:val="20"/>
          <w:szCs w:val="20"/>
        </w:rPr>
        <w:t xml:space="preserve">: </w:t>
      </w:r>
      <w:r>
        <w:rPr>
          <w:b/>
          <w:sz w:val="20"/>
          <w:szCs w:val="20"/>
        </w:rPr>
        <w:t>Annualisation Factors</w:t>
      </w:r>
    </w:p>
    <w:tbl>
      <w:tblPr>
        <w:tblW w:w="29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976"/>
        <w:gridCol w:w="976"/>
      </w:tblGrid>
      <w:tr w:rsidR="007A378A" w:rsidRPr="0023049B" w:rsidTr="00B37D17">
        <w:trPr>
          <w:trHeight w:val="255"/>
        </w:trPr>
        <w:tc>
          <w:tcPr>
            <w:tcW w:w="976" w:type="dxa"/>
            <w:noWrap/>
            <w:vAlign w:val="bottom"/>
          </w:tcPr>
          <w:p w:rsidR="007A378A" w:rsidRPr="0023049B" w:rsidRDefault="007A378A" w:rsidP="003F6E45">
            <w:pPr>
              <w:rPr>
                <w:rFonts w:cs="Arial"/>
                <w:lang w:eastAsia="en-GB"/>
              </w:rPr>
            </w:pPr>
          </w:p>
        </w:tc>
        <w:tc>
          <w:tcPr>
            <w:tcW w:w="976" w:type="dxa"/>
            <w:noWrap/>
            <w:vAlign w:val="bottom"/>
          </w:tcPr>
          <w:p w:rsidR="007A378A" w:rsidRPr="0023049B" w:rsidRDefault="007A378A" w:rsidP="003F6E45">
            <w:pPr>
              <w:rPr>
                <w:rFonts w:cs="Arial"/>
                <w:lang w:eastAsia="en-GB"/>
              </w:rPr>
            </w:pPr>
            <w:r w:rsidRPr="0023049B">
              <w:rPr>
                <w:rFonts w:cs="Arial"/>
                <w:lang w:eastAsia="en-GB"/>
              </w:rPr>
              <w:t>Light</w:t>
            </w:r>
          </w:p>
        </w:tc>
        <w:tc>
          <w:tcPr>
            <w:tcW w:w="976" w:type="dxa"/>
            <w:noWrap/>
            <w:vAlign w:val="bottom"/>
          </w:tcPr>
          <w:p w:rsidR="007A378A" w:rsidRPr="0023049B" w:rsidRDefault="007A378A" w:rsidP="003F6E45">
            <w:pPr>
              <w:rPr>
                <w:rFonts w:cs="Arial"/>
                <w:lang w:eastAsia="en-GB"/>
              </w:rPr>
            </w:pPr>
            <w:r w:rsidRPr="0023049B">
              <w:rPr>
                <w:rFonts w:cs="Arial"/>
                <w:lang w:eastAsia="en-GB"/>
              </w:rPr>
              <w:t>Heavy</w:t>
            </w:r>
          </w:p>
        </w:tc>
      </w:tr>
      <w:tr w:rsidR="007A378A" w:rsidRPr="0023049B" w:rsidTr="00B37D17">
        <w:trPr>
          <w:trHeight w:val="255"/>
        </w:trPr>
        <w:tc>
          <w:tcPr>
            <w:tcW w:w="976" w:type="dxa"/>
            <w:noWrap/>
            <w:vAlign w:val="bottom"/>
          </w:tcPr>
          <w:p w:rsidR="007A378A" w:rsidRPr="0023049B" w:rsidRDefault="007A378A" w:rsidP="003F6E45">
            <w:pPr>
              <w:rPr>
                <w:rFonts w:cs="Arial"/>
                <w:lang w:eastAsia="en-GB"/>
              </w:rPr>
            </w:pPr>
            <w:r w:rsidRPr="0023049B">
              <w:rPr>
                <w:rFonts w:cs="Arial"/>
                <w:lang w:eastAsia="en-GB"/>
              </w:rPr>
              <w:t>AM Peak</w:t>
            </w:r>
          </w:p>
        </w:tc>
        <w:tc>
          <w:tcPr>
            <w:tcW w:w="976" w:type="dxa"/>
            <w:noWrap/>
            <w:vAlign w:val="bottom"/>
          </w:tcPr>
          <w:p w:rsidR="007A378A" w:rsidRPr="0023049B" w:rsidRDefault="007A378A" w:rsidP="003F6E45">
            <w:pPr>
              <w:jc w:val="right"/>
              <w:rPr>
                <w:rFonts w:cs="Arial"/>
                <w:lang w:eastAsia="en-GB"/>
              </w:rPr>
            </w:pPr>
            <w:r w:rsidRPr="0023049B">
              <w:rPr>
                <w:rFonts w:cs="Arial"/>
                <w:lang w:eastAsia="en-GB"/>
              </w:rPr>
              <w:t>724</w:t>
            </w:r>
          </w:p>
        </w:tc>
        <w:tc>
          <w:tcPr>
            <w:tcW w:w="976" w:type="dxa"/>
            <w:noWrap/>
            <w:vAlign w:val="bottom"/>
          </w:tcPr>
          <w:p w:rsidR="007A378A" w:rsidRPr="0023049B" w:rsidRDefault="007A378A" w:rsidP="003F6E45">
            <w:pPr>
              <w:jc w:val="right"/>
              <w:rPr>
                <w:rFonts w:cs="Arial"/>
                <w:lang w:eastAsia="en-GB"/>
              </w:rPr>
            </w:pPr>
            <w:r w:rsidRPr="0023049B">
              <w:rPr>
                <w:rFonts w:cs="Arial"/>
                <w:lang w:eastAsia="en-GB"/>
              </w:rPr>
              <w:t>777</w:t>
            </w:r>
          </w:p>
        </w:tc>
      </w:tr>
      <w:tr w:rsidR="007A378A" w:rsidRPr="0023049B" w:rsidTr="00B37D17">
        <w:trPr>
          <w:trHeight w:val="255"/>
        </w:trPr>
        <w:tc>
          <w:tcPr>
            <w:tcW w:w="976" w:type="dxa"/>
            <w:noWrap/>
            <w:vAlign w:val="bottom"/>
          </w:tcPr>
          <w:p w:rsidR="007A378A" w:rsidRPr="0023049B" w:rsidRDefault="007A378A" w:rsidP="003F6E45">
            <w:pPr>
              <w:rPr>
                <w:rFonts w:cs="Arial"/>
                <w:lang w:eastAsia="en-GB"/>
              </w:rPr>
            </w:pPr>
            <w:r w:rsidRPr="0023049B">
              <w:rPr>
                <w:rFonts w:cs="Arial"/>
                <w:lang w:eastAsia="en-GB"/>
              </w:rPr>
              <w:t>PM Peak</w:t>
            </w:r>
          </w:p>
        </w:tc>
        <w:tc>
          <w:tcPr>
            <w:tcW w:w="976" w:type="dxa"/>
            <w:noWrap/>
            <w:vAlign w:val="bottom"/>
          </w:tcPr>
          <w:p w:rsidR="007A378A" w:rsidRPr="0023049B" w:rsidRDefault="007A378A" w:rsidP="003F6E45">
            <w:pPr>
              <w:jc w:val="right"/>
              <w:rPr>
                <w:rFonts w:cs="Arial"/>
                <w:lang w:eastAsia="en-GB"/>
              </w:rPr>
            </w:pPr>
            <w:r w:rsidRPr="0023049B">
              <w:rPr>
                <w:rFonts w:cs="Arial"/>
                <w:lang w:eastAsia="en-GB"/>
              </w:rPr>
              <w:t>691</w:t>
            </w:r>
          </w:p>
        </w:tc>
        <w:tc>
          <w:tcPr>
            <w:tcW w:w="976" w:type="dxa"/>
            <w:noWrap/>
            <w:vAlign w:val="bottom"/>
          </w:tcPr>
          <w:p w:rsidR="007A378A" w:rsidRPr="0023049B" w:rsidRDefault="007A378A" w:rsidP="003F6E45">
            <w:pPr>
              <w:jc w:val="right"/>
              <w:rPr>
                <w:rFonts w:cs="Arial"/>
                <w:lang w:eastAsia="en-GB"/>
              </w:rPr>
            </w:pPr>
            <w:r w:rsidRPr="0023049B">
              <w:rPr>
                <w:rFonts w:cs="Arial"/>
                <w:lang w:eastAsia="en-GB"/>
              </w:rPr>
              <w:t>779</w:t>
            </w:r>
          </w:p>
        </w:tc>
      </w:tr>
      <w:tr w:rsidR="007A378A" w:rsidRPr="0023049B" w:rsidTr="00B37D17">
        <w:trPr>
          <w:trHeight w:val="255"/>
        </w:trPr>
        <w:tc>
          <w:tcPr>
            <w:tcW w:w="976" w:type="dxa"/>
            <w:noWrap/>
            <w:vAlign w:val="bottom"/>
          </w:tcPr>
          <w:p w:rsidR="007A378A" w:rsidRPr="0023049B" w:rsidRDefault="007A378A" w:rsidP="003F6E45">
            <w:pPr>
              <w:rPr>
                <w:rFonts w:cs="Arial"/>
                <w:lang w:eastAsia="en-GB"/>
              </w:rPr>
            </w:pPr>
            <w:r w:rsidRPr="0023049B">
              <w:rPr>
                <w:rFonts w:cs="Arial"/>
                <w:lang w:eastAsia="en-GB"/>
              </w:rPr>
              <w:t>Interpeak</w:t>
            </w:r>
          </w:p>
        </w:tc>
        <w:tc>
          <w:tcPr>
            <w:tcW w:w="976" w:type="dxa"/>
            <w:noWrap/>
            <w:vAlign w:val="bottom"/>
          </w:tcPr>
          <w:p w:rsidR="007A378A" w:rsidRPr="0023049B" w:rsidRDefault="007A378A" w:rsidP="003F6E45">
            <w:pPr>
              <w:jc w:val="right"/>
              <w:rPr>
                <w:rFonts w:cs="Arial"/>
                <w:lang w:eastAsia="en-GB"/>
              </w:rPr>
            </w:pPr>
            <w:r w:rsidRPr="0023049B">
              <w:rPr>
                <w:rFonts w:cs="Arial"/>
                <w:lang w:eastAsia="en-GB"/>
              </w:rPr>
              <w:t>3</w:t>
            </w:r>
            <w:r>
              <w:rPr>
                <w:rFonts w:cs="Arial"/>
                <w:lang w:eastAsia="en-GB"/>
              </w:rPr>
              <w:t>,</w:t>
            </w:r>
            <w:r w:rsidRPr="0023049B">
              <w:rPr>
                <w:rFonts w:cs="Arial"/>
                <w:lang w:eastAsia="en-GB"/>
              </w:rPr>
              <w:t>784</w:t>
            </w:r>
          </w:p>
        </w:tc>
        <w:tc>
          <w:tcPr>
            <w:tcW w:w="976" w:type="dxa"/>
            <w:noWrap/>
            <w:vAlign w:val="bottom"/>
          </w:tcPr>
          <w:p w:rsidR="007A378A" w:rsidRPr="0023049B" w:rsidRDefault="007A378A" w:rsidP="003F6E45">
            <w:pPr>
              <w:jc w:val="right"/>
              <w:rPr>
                <w:rFonts w:cs="Arial"/>
                <w:lang w:eastAsia="en-GB"/>
              </w:rPr>
            </w:pPr>
            <w:r w:rsidRPr="0023049B">
              <w:rPr>
                <w:rFonts w:cs="Arial"/>
                <w:lang w:eastAsia="en-GB"/>
              </w:rPr>
              <w:t>2</w:t>
            </w:r>
            <w:r>
              <w:rPr>
                <w:rFonts w:cs="Arial"/>
                <w:lang w:eastAsia="en-GB"/>
              </w:rPr>
              <w:t>,</w:t>
            </w:r>
            <w:r w:rsidRPr="0023049B">
              <w:rPr>
                <w:rFonts w:cs="Arial"/>
                <w:lang w:eastAsia="en-GB"/>
              </w:rPr>
              <w:t>608</w:t>
            </w:r>
          </w:p>
        </w:tc>
      </w:tr>
    </w:tbl>
    <w:p w:rsidR="007A378A" w:rsidRDefault="007A378A" w:rsidP="0039632B">
      <w:pPr>
        <w:spacing w:after="120"/>
      </w:pPr>
    </w:p>
    <w:p w:rsidR="00302E0C" w:rsidRDefault="007A378A">
      <w:pPr>
        <w:pStyle w:val="Para3"/>
        <w:numPr>
          <w:ilvl w:val="2"/>
          <w:numId w:val="10"/>
        </w:numPr>
        <w:tabs>
          <w:tab w:val="clear" w:pos="1440"/>
          <w:tab w:val="num" w:pos="709"/>
        </w:tabs>
        <w:rPr>
          <w:i w:val="0"/>
          <w:sz w:val="20"/>
          <w:szCs w:val="20"/>
        </w:rPr>
      </w:pPr>
      <w:r w:rsidRPr="0039632B">
        <w:rPr>
          <w:i w:val="0"/>
          <w:sz w:val="20"/>
          <w:szCs w:val="20"/>
        </w:rPr>
        <w:t>Flows for years between 2009 and 2041 were derived by multiplicative interpolation between the modelled years of 2009, 2025 and 2041. Flows for years beyond 2041 were assumed static in the “without scheme” case, on the basis that the crossing is essentially at capacity; and assumed to grow at half the rate beyond 2041 that they grew at between 2025 and 2041 in the scheme cases.</w:t>
      </w:r>
    </w:p>
    <w:p w:rsidR="00F4253A" w:rsidRDefault="00F4253A" w:rsidP="00F4253A">
      <w:pPr>
        <w:pStyle w:val="Para3"/>
        <w:numPr>
          <w:ilvl w:val="0"/>
          <w:numId w:val="0"/>
        </w:numPr>
        <w:ind w:left="680"/>
        <w:rPr>
          <w:i w:val="0"/>
          <w:sz w:val="20"/>
          <w:szCs w:val="20"/>
        </w:rPr>
      </w:pPr>
    </w:p>
    <w:p w:rsidR="00F4253A" w:rsidRPr="00901D7B" w:rsidRDefault="00F4253A" w:rsidP="00F4253A">
      <w:pPr>
        <w:pStyle w:val="Hdg2"/>
        <w:numPr>
          <w:ilvl w:val="1"/>
          <w:numId w:val="10"/>
        </w:numPr>
        <w:spacing w:after="120"/>
        <w:rPr>
          <w:sz w:val="20"/>
          <w:szCs w:val="20"/>
        </w:rPr>
      </w:pPr>
      <w:bookmarkStart w:id="59" w:name="_Toc341694631"/>
      <w:r>
        <w:rPr>
          <w:sz w:val="20"/>
          <w:szCs w:val="20"/>
        </w:rPr>
        <w:t>Estimating Average Tolls</w:t>
      </w:r>
      <w:bookmarkEnd w:id="59"/>
      <w:r>
        <w:rPr>
          <w:sz w:val="20"/>
          <w:szCs w:val="20"/>
        </w:rPr>
        <w:t xml:space="preserve"> </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Tolls have been assumed as </w:t>
      </w:r>
      <w:r>
        <w:rPr>
          <w:i w:val="0"/>
          <w:sz w:val="20"/>
          <w:szCs w:val="20"/>
        </w:rPr>
        <w:t>shown in Table 5</w:t>
      </w:r>
      <w:r w:rsidRPr="0039632B">
        <w:rPr>
          <w:i w:val="0"/>
          <w:sz w:val="20"/>
          <w:szCs w:val="20"/>
        </w:rPr>
        <w:t xml:space="preserve">, expressed in </w:t>
      </w:r>
      <w:r>
        <w:rPr>
          <w:i w:val="0"/>
          <w:sz w:val="20"/>
          <w:szCs w:val="20"/>
        </w:rPr>
        <w:t>nominal</w:t>
      </w:r>
      <w:r w:rsidRPr="0039632B">
        <w:rPr>
          <w:i w:val="0"/>
          <w:sz w:val="20"/>
          <w:szCs w:val="20"/>
        </w:rPr>
        <w:t xml:space="preserve"> prices. Beyond 2015, tolls are </w:t>
      </w:r>
      <w:r>
        <w:rPr>
          <w:i w:val="0"/>
          <w:sz w:val="20"/>
          <w:szCs w:val="20"/>
        </w:rPr>
        <w:t>assumed to</w:t>
      </w:r>
      <w:r w:rsidRPr="0039632B">
        <w:rPr>
          <w:i w:val="0"/>
          <w:sz w:val="20"/>
          <w:szCs w:val="20"/>
        </w:rPr>
        <w:t xml:space="preserve"> increas</w:t>
      </w:r>
      <w:r>
        <w:rPr>
          <w:i w:val="0"/>
          <w:sz w:val="20"/>
          <w:szCs w:val="20"/>
        </w:rPr>
        <w:t xml:space="preserve">e </w:t>
      </w:r>
      <w:r w:rsidRPr="0039632B">
        <w:rPr>
          <w:i w:val="0"/>
          <w:sz w:val="20"/>
          <w:szCs w:val="20"/>
        </w:rPr>
        <w:t>with CPI (assumed 2% per annum) in line with the transport model</w:t>
      </w:r>
      <w:r>
        <w:rPr>
          <w:i w:val="0"/>
          <w:sz w:val="20"/>
          <w:szCs w:val="20"/>
        </w:rPr>
        <w:t xml:space="preserve"> input assumptions</w:t>
      </w:r>
      <w:r w:rsidRPr="0039632B">
        <w:rPr>
          <w:i w:val="0"/>
          <w:sz w:val="20"/>
          <w:szCs w:val="20"/>
        </w:rPr>
        <w:t xml:space="preserve">. Between 2009 and 2014, </w:t>
      </w:r>
      <w:r>
        <w:rPr>
          <w:i w:val="0"/>
          <w:sz w:val="20"/>
          <w:szCs w:val="20"/>
        </w:rPr>
        <w:t>the planned and announced</w:t>
      </w:r>
      <w:r w:rsidRPr="0039632B">
        <w:rPr>
          <w:i w:val="0"/>
          <w:sz w:val="20"/>
          <w:szCs w:val="20"/>
        </w:rPr>
        <w:t xml:space="preserve"> future increases to toll levels are explicitly incorporated.</w:t>
      </w:r>
    </w:p>
    <w:p w:rsidR="007A378A" w:rsidRDefault="007A378A">
      <w:pPr>
        <w:pStyle w:val="Caption"/>
        <w:tabs>
          <w:tab w:val="num" w:pos="709"/>
        </w:tabs>
        <w:spacing w:after="120"/>
        <w:rPr>
          <w:b/>
          <w:sz w:val="20"/>
          <w:szCs w:val="20"/>
        </w:rPr>
      </w:pPr>
      <w:bookmarkStart w:id="60" w:name="_Toc331084494"/>
      <w:r>
        <w:rPr>
          <w:b/>
          <w:sz w:val="20"/>
          <w:szCs w:val="20"/>
        </w:rPr>
        <w:tab/>
      </w:r>
      <w:r w:rsidRPr="009B56E6">
        <w:rPr>
          <w:b/>
          <w:sz w:val="20"/>
          <w:szCs w:val="20"/>
        </w:rPr>
        <w:t>Table</w:t>
      </w:r>
      <w:r>
        <w:rPr>
          <w:b/>
          <w:sz w:val="20"/>
          <w:szCs w:val="20"/>
        </w:rPr>
        <w:t xml:space="preserve"> 5</w:t>
      </w:r>
      <w:r w:rsidRPr="009B56E6">
        <w:rPr>
          <w:b/>
          <w:sz w:val="20"/>
          <w:szCs w:val="20"/>
        </w:rPr>
        <w:t xml:space="preserve">: </w:t>
      </w:r>
      <w:r>
        <w:rPr>
          <w:b/>
          <w:sz w:val="20"/>
          <w:szCs w:val="20"/>
        </w:rPr>
        <w:t xml:space="preserve">2009 Dartford Tolls, </w:t>
      </w:r>
      <w:bookmarkEnd w:id="60"/>
      <w:r>
        <w:rPr>
          <w:b/>
          <w:sz w:val="20"/>
          <w:szCs w:val="20"/>
        </w:rPr>
        <w:t>actual cash values</w:t>
      </w:r>
    </w:p>
    <w:tbl>
      <w:tblPr>
        <w:tblW w:w="99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0"/>
        <w:gridCol w:w="1100"/>
        <w:gridCol w:w="960"/>
        <w:gridCol w:w="960"/>
        <w:gridCol w:w="960"/>
        <w:gridCol w:w="960"/>
        <w:gridCol w:w="960"/>
        <w:gridCol w:w="960"/>
        <w:gridCol w:w="960"/>
        <w:gridCol w:w="960"/>
      </w:tblGrid>
      <w:tr w:rsidR="007A378A" w:rsidRPr="00874DAB" w:rsidTr="00B37D17">
        <w:trPr>
          <w:trHeight w:val="300"/>
        </w:trPr>
        <w:tc>
          <w:tcPr>
            <w:tcW w:w="1120" w:type="dxa"/>
            <w:noWrap/>
            <w:vAlign w:val="bottom"/>
          </w:tcPr>
          <w:p w:rsidR="007A378A" w:rsidRPr="00874DAB" w:rsidRDefault="007A378A" w:rsidP="003F6E45">
            <w:pPr>
              <w:tabs>
                <w:tab w:val="num" w:pos="1276"/>
              </w:tabs>
              <w:rPr>
                <w:rFonts w:cs="Arial"/>
                <w:b/>
                <w:color w:val="000000"/>
                <w:lang w:eastAsia="en-GB"/>
              </w:rPr>
            </w:pPr>
          </w:p>
        </w:tc>
        <w:tc>
          <w:tcPr>
            <w:tcW w:w="3020" w:type="dxa"/>
            <w:gridSpan w:val="3"/>
            <w:noWrap/>
            <w:vAlign w:val="bottom"/>
          </w:tcPr>
          <w:p w:rsidR="007A378A" w:rsidRPr="00874DAB" w:rsidRDefault="007A378A" w:rsidP="003F6E45">
            <w:pPr>
              <w:tabs>
                <w:tab w:val="num" w:pos="1276"/>
              </w:tabs>
              <w:jc w:val="center"/>
              <w:rPr>
                <w:rFonts w:cs="Arial"/>
                <w:b/>
                <w:color w:val="000000"/>
                <w:lang w:eastAsia="en-GB"/>
              </w:rPr>
            </w:pPr>
            <w:r>
              <w:rPr>
                <w:rFonts w:cs="Arial"/>
                <w:b/>
                <w:color w:val="000000"/>
                <w:lang w:eastAsia="en-GB"/>
              </w:rPr>
              <w:t>2009-2012</w:t>
            </w:r>
          </w:p>
        </w:tc>
        <w:tc>
          <w:tcPr>
            <w:tcW w:w="2880" w:type="dxa"/>
            <w:gridSpan w:val="3"/>
            <w:vAlign w:val="bottom"/>
          </w:tcPr>
          <w:p w:rsidR="007A378A" w:rsidRPr="00874DAB" w:rsidRDefault="007A378A" w:rsidP="003F6E45">
            <w:pPr>
              <w:tabs>
                <w:tab w:val="num" w:pos="1276"/>
              </w:tabs>
              <w:jc w:val="center"/>
              <w:rPr>
                <w:rFonts w:cs="Arial"/>
                <w:b/>
                <w:color w:val="000000"/>
                <w:lang w:eastAsia="en-GB"/>
              </w:rPr>
            </w:pPr>
            <w:r>
              <w:rPr>
                <w:rFonts w:cs="Arial"/>
                <w:b/>
                <w:color w:val="000000"/>
                <w:lang w:eastAsia="en-GB"/>
              </w:rPr>
              <w:t>2013-2014</w:t>
            </w:r>
          </w:p>
        </w:tc>
        <w:tc>
          <w:tcPr>
            <w:tcW w:w="2880" w:type="dxa"/>
            <w:gridSpan w:val="3"/>
            <w:vAlign w:val="bottom"/>
          </w:tcPr>
          <w:p w:rsidR="007A378A" w:rsidRPr="00874DAB" w:rsidRDefault="007A378A" w:rsidP="003F6E45">
            <w:pPr>
              <w:tabs>
                <w:tab w:val="num" w:pos="1276"/>
              </w:tabs>
              <w:jc w:val="center"/>
              <w:rPr>
                <w:rFonts w:cs="Arial"/>
                <w:b/>
                <w:color w:val="000000"/>
                <w:lang w:eastAsia="en-GB"/>
              </w:rPr>
            </w:pPr>
            <w:r>
              <w:rPr>
                <w:rFonts w:cs="Arial"/>
                <w:b/>
                <w:color w:val="000000"/>
                <w:lang w:eastAsia="en-GB"/>
              </w:rPr>
              <w:t>2015+</w:t>
            </w:r>
          </w:p>
        </w:tc>
      </w:tr>
      <w:tr w:rsidR="007A378A" w:rsidRPr="00874DAB" w:rsidTr="00B37D17">
        <w:trPr>
          <w:trHeight w:val="300"/>
        </w:trPr>
        <w:tc>
          <w:tcPr>
            <w:tcW w:w="1120" w:type="dxa"/>
            <w:noWrap/>
            <w:vAlign w:val="bottom"/>
          </w:tcPr>
          <w:p w:rsidR="007A378A" w:rsidRPr="00874DAB" w:rsidRDefault="007A378A" w:rsidP="003F6E45">
            <w:pPr>
              <w:tabs>
                <w:tab w:val="num" w:pos="1276"/>
              </w:tabs>
              <w:rPr>
                <w:rFonts w:cs="Arial"/>
                <w:b/>
                <w:color w:val="000000"/>
                <w:lang w:eastAsia="en-GB"/>
              </w:rPr>
            </w:pPr>
          </w:p>
        </w:tc>
        <w:tc>
          <w:tcPr>
            <w:tcW w:w="1100" w:type="dxa"/>
            <w:noWrap/>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Cash</w:t>
            </w:r>
          </w:p>
        </w:tc>
        <w:tc>
          <w:tcPr>
            <w:tcW w:w="960" w:type="dxa"/>
            <w:noWrap/>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TAG</w:t>
            </w:r>
          </w:p>
        </w:tc>
        <w:tc>
          <w:tcPr>
            <w:tcW w:w="960" w:type="dxa"/>
            <w:noWrap/>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Local</w:t>
            </w:r>
          </w:p>
        </w:tc>
        <w:tc>
          <w:tcPr>
            <w:tcW w:w="960" w:type="dxa"/>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Cash</w:t>
            </w:r>
          </w:p>
        </w:tc>
        <w:tc>
          <w:tcPr>
            <w:tcW w:w="960" w:type="dxa"/>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TAG</w:t>
            </w:r>
          </w:p>
        </w:tc>
        <w:tc>
          <w:tcPr>
            <w:tcW w:w="960" w:type="dxa"/>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Local</w:t>
            </w:r>
          </w:p>
        </w:tc>
        <w:tc>
          <w:tcPr>
            <w:tcW w:w="960" w:type="dxa"/>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Cash</w:t>
            </w:r>
          </w:p>
        </w:tc>
        <w:tc>
          <w:tcPr>
            <w:tcW w:w="960" w:type="dxa"/>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TAG</w:t>
            </w:r>
          </w:p>
        </w:tc>
        <w:tc>
          <w:tcPr>
            <w:tcW w:w="960" w:type="dxa"/>
            <w:vAlign w:val="bottom"/>
          </w:tcPr>
          <w:p w:rsidR="007A378A" w:rsidRPr="00874DAB" w:rsidRDefault="007A378A" w:rsidP="003F6E45">
            <w:pPr>
              <w:tabs>
                <w:tab w:val="num" w:pos="1276"/>
              </w:tabs>
              <w:jc w:val="right"/>
              <w:rPr>
                <w:rFonts w:cs="Arial"/>
                <w:b/>
                <w:color w:val="000000"/>
                <w:lang w:eastAsia="en-GB"/>
              </w:rPr>
            </w:pPr>
            <w:r w:rsidRPr="00874DAB">
              <w:rPr>
                <w:rFonts w:cs="Arial"/>
                <w:b/>
                <w:color w:val="000000"/>
                <w:lang w:eastAsia="en-GB"/>
              </w:rPr>
              <w:t>Local</w:t>
            </w:r>
          </w:p>
        </w:tc>
      </w:tr>
      <w:tr w:rsidR="007A378A" w:rsidRPr="00CD2F05" w:rsidTr="00B37D17">
        <w:trPr>
          <w:trHeight w:val="300"/>
        </w:trPr>
        <w:tc>
          <w:tcPr>
            <w:tcW w:w="1120" w:type="dxa"/>
            <w:noWrap/>
            <w:vAlign w:val="bottom"/>
          </w:tcPr>
          <w:p w:rsidR="007A378A" w:rsidRPr="00CD2F05" w:rsidRDefault="007A378A" w:rsidP="003F6E45">
            <w:pPr>
              <w:tabs>
                <w:tab w:val="num" w:pos="1276"/>
              </w:tabs>
              <w:rPr>
                <w:rFonts w:cs="Arial"/>
                <w:color w:val="000000"/>
                <w:lang w:eastAsia="en-GB"/>
              </w:rPr>
            </w:pPr>
            <w:r w:rsidRPr="00CD2F05">
              <w:rPr>
                <w:rFonts w:cs="Arial"/>
                <w:color w:val="000000"/>
                <w:lang w:eastAsia="en-GB"/>
              </w:rPr>
              <w:t>Car</w:t>
            </w:r>
          </w:p>
        </w:tc>
        <w:tc>
          <w:tcPr>
            <w:tcW w:w="1100" w:type="dxa"/>
            <w:noWrap/>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£1.50</w:t>
            </w:r>
          </w:p>
        </w:tc>
        <w:tc>
          <w:tcPr>
            <w:tcW w:w="960" w:type="dxa"/>
            <w:noWrap/>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£1</w:t>
            </w:r>
            <w:r w:rsidRPr="00CE548A">
              <w:rPr>
                <w:rFonts w:cs="Arial"/>
                <w:color w:val="000000"/>
                <w:lang w:eastAsia="en-GB"/>
              </w:rPr>
              <w:t>.00</w:t>
            </w:r>
          </w:p>
        </w:tc>
        <w:tc>
          <w:tcPr>
            <w:tcW w:w="960" w:type="dxa"/>
            <w:noWrap/>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£0.20</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£2.0</w:t>
            </w:r>
            <w:r w:rsidRPr="00CD2F05">
              <w:rPr>
                <w:rFonts w:cs="Arial"/>
                <w:color w:val="000000"/>
                <w:lang w:eastAsia="en-GB"/>
              </w:rPr>
              <w:t>0</w:t>
            </w:r>
          </w:p>
        </w:tc>
        <w:tc>
          <w:tcPr>
            <w:tcW w:w="960" w:type="dxa"/>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£1</w:t>
            </w:r>
            <w:r>
              <w:rPr>
                <w:rFonts w:cs="Arial"/>
                <w:color w:val="000000"/>
                <w:lang w:eastAsia="en-GB"/>
              </w:rPr>
              <w:t>.3</w:t>
            </w:r>
            <w:r w:rsidRPr="00CE548A">
              <w:rPr>
                <w:rFonts w:cs="Arial"/>
                <w:color w:val="000000"/>
                <w:lang w:eastAsia="en-GB"/>
              </w:rPr>
              <w:t>0</w:t>
            </w:r>
          </w:p>
        </w:tc>
        <w:tc>
          <w:tcPr>
            <w:tcW w:w="960" w:type="dxa"/>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£0.20</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£2</w:t>
            </w:r>
            <w:r w:rsidRPr="00CD2F05">
              <w:rPr>
                <w:rFonts w:cs="Arial"/>
                <w:color w:val="000000"/>
                <w:lang w:eastAsia="en-GB"/>
              </w:rPr>
              <w:t>.50</w:t>
            </w:r>
          </w:p>
        </w:tc>
        <w:tc>
          <w:tcPr>
            <w:tcW w:w="960" w:type="dxa"/>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£1</w:t>
            </w:r>
            <w:r>
              <w:rPr>
                <w:rFonts w:cs="Arial"/>
                <w:color w:val="000000"/>
                <w:lang w:eastAsia="en-GB"/>
              </w:rPr>
              <w:t>.7</w:t>
            </w:r>
            <w:r w:rsidRPr="00CE548A">
              <w:rPr>
                <w:rFonts w:cs="Arial"/>
                <w:color w:val="000000"/>
                <w:lang w:eastAsia="en-GB"/>
              </w:rPr>
              <w:t>0</w:t>
            </w:r>
          </w:p>
        </w:tc>
        <w:tc>
          <w:tcPr>
            <w:tcW w:w="960" w:type="dxa"/>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£0.20</w:t>
            </w:r>
          </w:p>
        </w:tc>
      </w:tr>
      <w:tr w:rsidR="007A378A" w:rsidRPr="00CD2F05" w:rsidTr="00B37D17">
        <w:trPr>
          <w:trHeight w:val="300"/>
        </w:trPr>
        <w:tc>
          <w:tcPr>
            <w:tcW w:w="1120" w:type="dxa"/>
            <w:noWrap/>
            <w:vAlign w:val="bottom"/>
          </w:tcPr>
          <w:p w:rsidR="007A378A" w:rsidRPr="00CD2F05" w:rsidRDefault="007A378A" w:rsidP="003F6E45">
            <w:pPr>
              <w:tabs>
                <w:tab w:val="num" w:pos="1276"/>
              </w:tabs>
              <w:rPr>
                <w:rFonts w:cs="Arial"/>
                <w:color w:val="000000"/>
                <w:lang w:eastAsia="en-GB"/>
              </w:rPr>
            </w:pPr>
            <w:r w:rsidRPr="00CD2F05">
              <w:rPr>
                <w:rFonts w:cs="Arial"/>
                <w:color w:val="000000"/>
                <w:lang w:eastAsia="en-GB"/>
              </w:rPr>
              <w:t>LGV</w:t>
            </w:r>
          </w:p>
        </w:tc>
        <w:tc>
          <w:tcPr>
            <w:tcW w:w="1100" w:type="dxa"/>
            <w:noWrap/>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£2.00</w:t>
            </w:r>
          </w:p>
        </w:tc>
        <w:tc>
          <w:tcPr>
            <w:tcW w:w="960" w:type="dxa"/>
            <w:noWrap/>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£1.75</w:t>
            </w:r>
          </w:p>
        </w:tc>
        <w:tc>
          <w:tcPr>
            <w:tcW w:w="960" w:type="dxa"/>
            <w:noWrap/>
            <w:vAlign w:val="bottom"/>
          </w:tcPr>
          <w:p w:rsidR="007A378A" w:rsidRPr="00CD2F05" w:rsidRDefault="007A378A" w:rsidP="003F6E45">
            <w:pPr>
              <w:tabs>
                <w:tab w:val="num" w:pos="1276"/>
              </w:tabs>
              <w:jc w:val="right"/>
              <w:rPr>
                <w:rFonts w:cs="Arial"/>
                <w:color w:val="000000"/>
                <w:lang w:eastAsia="en-GB"/>
              </w:rPr>
            </w:pPr>
            <w:r w:rsidRPr="00CE548A">
              <w:rPr>
                <w:rFonts w:cs="Arial"/>
                <w:color w:val="000000"/>
                <w:lang w:eastAsia="en-GB"/>
              </w:rPr>
              <w:t>-</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£2.7</w:t>
            </w:r>
            <w:r w:rsidRPr="00CD2F05">
              <w:rPr>
                <w:rFonts w:cs="Arial"/>
                <w:color w:val="000000"/>
                <w:lang w:eastAsia="en-GB"/>
              </w:rPr>
              <w:t>0</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£2.30</w:t>
            </w:r>
          </w:p>
        </w:tc>
        <w:tc>
          <w:tcPr>
            <w:tcW w:w="960" w:type="dxa"/>
            <w:vAlign w:val="bottom"/>
          </w:tcPr>
          <w:p w:rsidR="007A378A" w:rsidRPr="00CD2F05" w:rsidRDefault="007A378A" w:rsidP="003F6E45">
            <w:pPr>
              <w:tabs>
                <w:tab w:val="num" w:pos="1276"/>
              </w:tabs>
              <w:jc w:val="right"/>
              <w:rPr>
                <w:rFonts w:cs="Arial"/>
                <w:color w:val="000000"/>
                <w:lang w:eastAsia="en-GB"/>
              </w:rPr>
            </w:pPr>
            <w:r w:rsidRPr="00CE548A">
              <w:rPr>
                <w:rFonts w:cs="Arial"/>
                <w:color w:val="000000"/>
                <w:lang w:eastAsia="en-GB"/>
              </w:rPr>
              <w:t>-</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£3.3</w:t>
            </w:r>
            <w:r w:rsidRPr="00CD2F05">
              <w:rPr>
                <w:rFonts w:cs="Arial"/>
                <w:color w:val="000000"/>
                <w:lang w:eastAsia="en-GB"/>
              </w:rPr>
              <w:t>0</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£2.90</w:t>
            </w:r>
          </w:p>
        </w:tc>
        <w:tc>
          <w:tcPr>
            <w:tcW w:w="960" w:type="dxa"/>
            <w:vAlign w:val="bottom"/>
          </w:tcPr>
          <w:p w:rsidR="007A378A" w:rsidRPr="00CD2F05" w:rsidRDefault="007A378A" w:rsidP="003F6E45">
            <w:pPr>
              <w:tabs>
                <w:tab w:val="num" w:pos="1276"/>
              </w:tabs>
              <w:jc w:val="right"/>
              <w:rPr>
                <w:rFonts w:cs="Arial"/>
                <w:color w:val="000000"/>
                <w:lang w:eastAsia="en-GB"/>
              </w:rPr>
            </w:pPr>
            <w:r w:rsidRPr="00CE548A">
              <w:rPr>
                <w:rFonts w:cs="Arial"/>
                <w:color w:val="000000"/>
                <w:lang w:eastAsia="en-GB"/>
              </w:rPr>
              <w:t>-</w:t>
            </w:r>
          </w:p>
        </w:tc>
      </w:tr>
      <w:tr w:rsidR="007A378A" w:rsidRPr="00CD2F05" w:rsidTr="00B37D17">
        <w:trPr>
          <w:trHeight w:val="300"/>
        </w:trPr>
        <w:tc>
          <w:tcPr>
            <w:tcW w:w="1120" w:type="dxa"/>
            <w:noWrap/>
            <w:vAlign w:val="bottom"/>
          </w:tcPr>
          <w:p w:rsidR="007A378A" w:rsidRPr="00CD2F05" w:rsidRDefault="007A378A" w:rsidP="003F6E45">
            <w:pPr>
              <w:tabs>
                <w:tab w:val="num" w:pos="1276"/>
              </w:tabs>
              <w:rPr>
                <w:rFonts w:cs="Arial"/>
                <w:color w:val="000000"/>
                <w:lang w:eastAsia="en-GB"/>
              </w:rPr>
            </w:pPr>
            <w:r w:rsidRPr="00CD2F05">
              <w:rPr>
                <w:rFonts w:cs="Arial"/>
                <w:color w:val="000000"/>
                <w:lang w:eastAsia="en-GB"/>
              </w:rPr>
              <w:t>HGV</w:t>
            </w:r>
          </w:p>
        </w:tc>
        <w:tc>
          <w:tcPr>
            <w:tcW w:w="1100" w:type="dxa"/>
            <w:noWrap/>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£3.70</w:t>
            </w:r>
          </w:p>
        </w:tc>
        <w:tc>
          <w:tcPr>
            <w:tcW w:w="960" w:type="dxa"/>
            <w:noWrap/>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£3.20</w:t>
            </w:r>
          </w:p>
        </w:tc>
        <w:tc>
          <w:tcPr>
            <w:tcW w:w="960" w:type="dxa"/>
            <w:noWrap/>
            <w:vAlign w:val="bottom"/>
          </w:tcPr>
          <w:p w:rsidR="007A378A" w:rsidRPr="00CD2F05" w:rsidRDefault="007A378A" w:rsidP="003F6E45">
            <w:pPr>
              <w:tabs>
                <w:tab w:val="num" w:pos="1276"/>
              </w:tabs>
              <w:jc w:val="right"/>
              <w:rPr>
                <w:rFonts w:cs="Arial"/>
                <w:color w:val="000000"/>
                <w:lang w:eastAsia="en-GB"/>
              </w:rPr>
            </w:pPr>
            <w:r w:rsidRPr="00CE548A">
              <w:rPr>
                <w:rFonts w:cs="Arial"/>
                <w:color w:val="000000"/>
                <w:lang w:eastAsia="en-GB"/>
              </w:rPr>
              <w:t>-</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£4.9</w:t>
            </w:r>
            <w:r w:rsidRPr="00CD2F05">
              <w:rPr>
                <w:rFonts w:cs="Arial"/>
                <w:color w:val="000000"/>
                <w:lang w:eastAsia="en-GB"/>
              </w:rPr>
              <w:t>0</w:t>
            </w:r>
          </w:p>
        </w:tc>
        <w:tc>
          <w:tcPr>
            <w:tcW w:w="960" w:type="dxa"/>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w:t>
            </w:r>
            <w:r>
              <w:rPr>
                <w:rFonts w:cs="Arial"/>
                <w:color w:val="000000"/>
                <w:lang w:eastAsia="en-GB"/>
              </w:rPr>
              <w:t>4.30</w:t>
            </w:r>
          </w:p>
        </w:tc>
        <w:tc>
          <w:tcPr>
            <w:tcW w:w="960" w:type="dxa"/>
            <w:vAlign w:val="bottom"/>
          </w:tcPr>
          <w:p w:rsidR="007A378A" w:rsidRPr="00CD2F05" w:rsidRDefault="007A378A" w:rsidP="003F6E45">
            <w:pPr>
              <w:tabs>
                <w:tab w:val="num" w:pos="1276"/>
              </w:tabs>
              <w:jc w:val="right"/>
              <w:rPr>
                <w:rFonts w:cs="Arial"/>
                <w:color w:val="000000"/>
                <w:lang w:eastAsia="en-GB"/>
              </w:rPr>
            </w:pPr>
            <w:r w:rsidRPr="00CE548A">
              <w:rPr>
                <w:rFonts w:cs="Arial"/>
                <w:color w:val="000000"/>
                <w:lang w:eastAsia="en-GB"/>
              </w:rPr>
              <w:t>-</w:t>
            </w:r>
          </w:p>
        </w:tc>
        <w:tc>
          <w:tcPr>
            <w:tcW w:w="960" w:type="dxa"/>
            <w:vAlign w:val="bottom"/>
          </w:tcPr>
          <w:p w:rsidR="007A378A" w:rsidRPr="00CD2F05" w:rsidRDefault="007A378A" w:rsidP="003F6E45">
            <w:pPr>
              <w:tabs>
                <w:tab w:val="num" w:pos="1276"/>
              </w:tabs>
              <w:jc w:val="right"/>
              <w:rPr>
                <w:rFonts w:cs="Arial"/>
                <w:color w:val="000000"/>
                <w:lang w:eastAsia="en-GB"/>
              </w:rPr>
            </w:pPr>
            <w:r>
              <w:rPr>
                <w:rFonts w:cs="Arial"/>
                <w:color w:val="000000"/>
                <w:lang w:eastAsia="en-GB"/>
              </w:rPr>
              <w:t>£6.2</w:t>
            </w:r>
            <w:r w:rsidRPr="00CD2F05">
              <w:rPr>
                <w:rFonts w:cs="Arial"/>
                <w:color w:val="000000"/>
                <w:lang w:eastAsia="en-GB"/>
              </w:rPr>
              <w:t>0</w:t>
            </w:r>
          </w:p>
        </w:tc>
        <w:tc>
          <w:tcPr>
            <w:tcW w:w="960" w:type="dxa"/>
            <w:vAlign w:val="bottom"/>
          </w:tcPr>
          <w:p w:rsidR="007A378A" w:rsidRPr="00CD2F05" w:rsidRDefault="007A378A" w:rsidP="003F6E45">
            <w:pPr>
              <w:tabs>
                <w:tab w:val="num" w:pos="1276"/>
              </w:tabs>
              <w:jc w:val="right"/>
              <w:rPr>
                <w:rFonts w:cs="Arial"/>
                <w:color w:val="000000"/>
                <w:lang w:eastAsia="en-GB"/>
              </w:rPr>
            </w:pPr>
            <w:r w:rsidRPr="00CD2F05">
              <w:rPr>
                <w:rFonts w:cs="Arial"/>
                <w:color w:val="000000"/>
                <w:lang w:eastAsia="en-GB"/>
              </w:rPr>
              <w:t>£</w:t>
            </w:r>
            <w:r>
              <w:rPr>
                <w:rFonts w:cs="Arial"/>
                <w:color w:val="000000"/>
                <w:lang w:eastAsia="en-GB"/>
              </w:rPr>
              <w:t>5.30</w:t>
            </w:r>
          </w:p>
        </w:tc>
        <w:tc>
          <w:tcPr>
            <w:tcW w:w="960" w:type="dxa"/>
            <w:vAlign w:val="bottom"/>
          </w:tcPr>
          <w:p w:rsidR="007A378A" w:rsidRPr="00CD2F05" w:rsidRDefault="007A378A" w:rsidP="003F6E45">
            <w:pPr>
              <w:tabs>
                <w:tab w:val="num" w:pos="1276"/>
              </w:tabs>
              <w:jc w:val="right"/>
              <w:rPr>
                <w:rFonts w:cs="Arial"/>
                <w:color w:val="000000"/>
                <w:lang w:eastAsia="en-GB"/>
              </w:rPr>
            </w:pPr>
            <w:r w:rsidRPr="00CE548A">
              <w:rPr>
                <w:rFonts w:cs="Arial"/>
                <w:color w:val="000000"/>
                <w:lang w:eastAsia="en-GB"/>
              </w:rPr>
              <w:t>-</w:t>
            </w:r>
          </w:p>
        </w:tc>
      </w:tr>
    </w:tbl>
    <w:p w:rsidR="007A378A" w:rsidRDefault="007A378A" w:rsidP="0039632B">
      <w:pPr>
        <w:spacing w:after="120"/>
      </w:pP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These tolls were rebased to 2010 prices throughout, and averages derived over cash, TAG, local-resident and exempt </w:t>
      </w:r>
      <w:r>
        <w:rPr>
          <w:i w:val="0"/>
          <w:sz w:val="20"/>
          <w:szCs w:val="20"/>
        </w:rPr>
        <w:t xml:space="preserve">(‘no pay’) </w:t>
      </w:r>
      <w:r w:rsidRPr="0039632B">
        <w:rPr>
          <w:i w:val="0"/>
          <w:sz w:val="20"/>
          <w:szCs w:val="20"/>
        </w:rPr>
        <w:t xml:space="preserve">vehicles to obtain </w:t>
      </w:r>
      <w:r>
        <w:rPr>
          <w:i w:val="0"/>
          <w:sz w:val="20"/>
          <w:szCs w:val="20"/>
        </w:rPr>
        <w:t xml:space="preserve">average </w:t>
      </w:r>
      <w:r w:rsidRPr="0039632B">
        <w:rPr>
          <w:i w:val="0"/>
          <w:sz w:val="20"/>
          <w:szCs w:val="20"/>
        </w:rPr>
        <w:t>values for calculating revenue</w:t>
      </w:r>
      <w:r>
        <w:rPr>
          <w:i w:val="0"/>
          <w:sz w:val="20"/>
          <w:szCs w:val="20"/>
        </w:rPr>
        <w:t xml:space="preserve"> by vehicle type</w:t>
      </w:r>
      <w:r w:rsidRPr="0039632B">
        <w:rPr>
          <w:i w:val="0"/>
          <w:sz w:val="20"/>
          <w:szCs w:val="20"/>
        </w:rPr>
        <w:t>.</w:t>
      </w:r>
    </w:p>
    <w:p w:rsidR="00302E0C" w:rsidRDefault="007A378A">
      <w:pPr>
        <w:pStyle w:val="Para3"/>
        <w:numPr>
          <w:ilvl w:val="2"/>
          <w:numId w:val="10"/>
        </w:numPr>
        <w:tabs>
          <w:tab w:val="clear" w:pos="1440"/>
          <w:tab w:val="num" w:pos="709"/>
        </w:tabs>
        <w:rPr>
          <w:i w:val="0"/>
          <w:sz w:val="20"/>
          <w:szCs w:val="20"/>
        </w:rPr>
      </w:pPr>
      <w:r w:rsidRPr="0039632B">
        <w:rPr>
          <w:i w:val="0"/>
          <w:sz w:val="20"/>
          <w:szCs w:val="20"/>
        </w:rPr>
        <w:t xml:space="preserve">Dartford Crossing transaction data have been used to derive payment type proportions, as shown in Table </w:t>
      </w:r>
      <w:r>
        <w:rPr>
          <w:i w:val="0"/>
          <w:sz w:val="20"/>
          <w:szCs w:val="20"/>
        </w:rPr>
        <w:t>6</w:t>
      </w:r>
      <w:r w:rsidRPr="0039632B">
        <w:rPr>
          <w:i w:val="0"/>
          <w:sz w:val="20"/>
          <w:szCs w:val="20"/>
        </w:rPr>
        <w:t xml:space="preserve">. It has been assumed that the introduction of </w:t>
      </w:r>
      <w:r w:rsidR="00AF0603">
        <w:rPr>
          <w:i w:val="0"/>
          <w:sz w:val="20"/>
          <w:szCs w:val="20"/>
        </w:rPr>
        <w:t>free-flow</w:t>
      </w:r>
      <w:r w:rsidRPr="0039632B">
        <w:rPr>
          <w:i w:val="0"/>
          <w:sz w:val="20"/>
          <w:szCs w:val="20"/>
        </w:rPr>
        <w:t xml:space="preserve"> tolling will result in increases in TAG proportions, taken from assumptions in the </w:t>
      </w:r>
      <w:r w:rsidR="00B37D17">
        <w:rPr>
          <w:i w:val="0"/>
          <w:sz w:val="20"/>
          <w:szCs w:val="20"/>
        </w:rPr>
        <w:t>f</w:t>
      </w:r>
      <w:r w:rsidR="00AF0603">
        <w:rPr>
          <w:i w:val="0"/>
          <w:sz w:val="20"/>
          <w:szCs w:val="20"/>
        </w:rPr>
        <w:t>ree-flow</w:t>
      </w:r>
      <w:r w:rsidRPr="0039632B">
        <w:rPr>
          <w:i w:val="0"/>
          <w:sz w:val="20"/>
          <w:szCs w:val="20"/>
        </w:rPr>
        <w:t xml:space="preserve"> </w:t>
      </w:r>
      <w:r w:rsidR="00B37D17">
        <w:rPr>
          <w:i w:val="0"/>
          <w:sz w:val="20"/>
          <w:szCs w:val="20"/>
        </w:rPr>
        <w:t>t</w:t>
      </w:r>
      <w:r w:rsidRPr="0039632B">
        <w:rPr>
          <w:i w:val="0"/>
          <w:sz w:val="20"/>
          <w:szCs w:val="20"/>
        </w:rPr>
        <w:t xml:space="preserve">olling </w:t>
      </w:r>
      <w:r w:rsidR="00B37D17">
        <w:rPr>
          <w:i w:val="0"/>
          <w:sz w:val="20"/>
          <w:szCs w:val="20"/>
        </w:rPr>
        <w:t>b</w:t>
      </w:r>
      <w:r w:rsidRPr="0039632B">
        <w:rPr>
          <w:i w:val="0"/>
          <w:sz w:val="20"/>
          <w:szCs w:val="20"/>
        </w:rPr>
        <w:t xml:space="preserve">usiness </w:t>
      </w:r>
      <w:r w:rsidR="00B37D17">
        <w:rPr>
          <w:i w:val="0"/>
          <w:sz w:val="20"/>
          <w:szCs w:val="20"/>
        </w:rPr>
        <w:t>c</w:t>
      </w:r>
      <w:r w:rsidRPr="0039632B">
        <w:rPr>
          <w:i w:val="0"/>
          <w:sz w:val="20"/>
          <w:szCs w:val="20"/>
        </w:rPr>
        <w:t>ase report.</w:t>
      </w:r>
    </w:p>
    <w:p w:rsidR="007A378A" w:rsidRPr="0039632B" w:rsidRDefault="007A378A" w:rsidP="007E16B3">
      <w:pPr>
        <w:pStyle w:val="Para3"/>
        <w:numPr>
          <w:ilvl w:val="0"/>
          <w:numId w:val="0"/>
        </w:numPr>
        <w:ind w:left="680"/>
        <w:rPr>
          <w:i w:val="0"/>
          <w:sz w:val="20"/>
          <w:szCs w:val="20"/>
        </w:rPr>
      </w:pPr>
    </w:p>
    <w:p w:rsidR="007A378A" w:rsidRDefault="007A378A">
      <w:pPr>
        <w:pStyle w:val="Caption"/>
        <w:keepNext/>
        <w:tabs>
          <w:tab w:val="num" w:pos="709"/>
        </w:tabs>
        <w:spacing w:after="120"/>
        <w:rPr>
          <w:b/>
          <w:sz w:val="20"/>
          <w:szCs w:val="20"/>
        </w:rPr>
      </w:pPr>
      <w:bookmarkStart w:id="61" w:name="_Ref327365977"/>
      <w:bookmarkStart w:id="62" w:name="_Toc331084495"/>
      <w:r>
        <w:rPr>
          <w:b/>
          <w:sz w:val="20"/>
          <w:szCs w:val="20"/>
        </w:rPr>
        <w:tab/>
      </w:r>
      <w:r w:rsidRPr="009B56E6">
        <w:rPr>
          <w:b/>
          <w:sz w:val="20"/>
          <w:szCs w:val="20"/>
        </w:rPr>
        <w:t>Table</w:t>
      </w:r>
      <w:r>
        <w:rPr>
          <w:b/>
          <w:sz w:val="20"/>
          <w:szCs w:val="20"/>
        </w:rPr>
        <w:t xml:space="preserve"> </w:t>
      </w:r>
      <w:bookmarkEnd w:id="61"/>
      <w:r>
        <w:rPr>
          <w:b/>
          <w:sz w:val="20"/>
          <w:szCs w:val="20"/>
        </w:rPr>
        <w:t>6</w:t>
      </w:r>
      <w:r w:rsidRPr="009B56E6">
        <w:rPr>
          <w:b/>
          <w:sz w:val="20"/>
          <w:szCs w:val="20"/>
        </w:rPr>
        <w:t xml:space="preserve">: </w:t>
      </w:r>
      <w:r>
        <w:rPr>
          <w:b/>
          <w:sz w:val="20"/>
          <w:szCs w:val="20"/>
        </w:rPr>
        <w:t>2009 Dartford Payment Type Proportions</w:t>
      </w:r>
      <w:bookmarkEnd w:id="62"/>
    </w:p>
    <w:tbl>
      <w:tblPr>
        <w:tblW w:w="918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960"/>
        <w:gridCol w:w="1172"/>
        <w:gridCol w:w="1134"/>
        <w:gridCol w:w="992"/>
        <w:gridCol w:w="941"/>
        <w:gridCol w:w="1172"/>
        <w:gridCol w:w="941"/>
        <w:gridCol w:w="914"/>
      </w:tblGrid>
      <w:tr w:rsidR="007A378A" w:rsidRPr="00874DAB" w:rsidTr="00B37D17">
        <w:trPr>
          <w:trHeight w:val="300"/>
        </w:trPr>
        <w:tc>
          <w:tcPr>
            <w:tcW w:w="960" w:type="dxa"/>
            <w:noWrap/>
            <w:vAlign w:val="bottom"/>
          </w:tcPr>
          <w:p w:rsidR="007A378A" w:rsidRDefault="007A378A">
            <w:pPr>
              <w:keepNext/>
              <w:tabs>
                <w:tab w:val="num" w:pos="1276"/>
              </w:tabs>
              <w:rPr>
                <w:rFonts w:cs="Arial"/>
                <w:b/>
                <w:color w:val="000000"/>
                <w:lang w:eastAsia="en-GB"/>
              </w:rPr>
            </w:pPr>
          </w:p>
        </w:tc>
        <w:tc>
          <w:tcPr>
            <w:tcW w:w="4258" w:type="dxa"/>
            <w:gridSpan w:val="4"/>
            <w:noWrap/>
            <w:vAlign w:val="bottom"/>
          </w:tcPr>
          <w:p w:rsidR="007A378A" w:rsidRDefault="007A378A">
            <w:pPr>
              <w:keepNext/>
              <w:tabs>
                <w:tab w:val="num" w:pos="1276"/>
              </w:tabs>
              <w:jc w:val="center"/>
              <w:rPr>
                <w:rFonts w:cs="Arial"/>
                <w:b/>
                <w:color w:val="000000"/>
                <w:lang w:eastAsia="en-GB"/>
              </w:rPr>
            </w:pPr>
            <w:r>
              <w:rPr>
                <w:rFonts w:cs="Arial"/>
                <w:b/>
                <w:color w:val="000000"/>
                <w:lang w:eastAsia="en-GB"/>
              </w:rPr>
              <w:t>2009-2014</w:t>
            </w:r>
          </w:p>
        </w:tc>
        <w:tc>
          <w:tcPr>
            <w:tcW w:w="3968" w:type="dxa"/>
            <w:gridSpan w:val="4"/>
            <w:vAlign w:val="bottom"/>
          </w:tcPr>
          <w:p w:rsidR="007A378A" w:rsidRDefault="007A378A">
            <w:pPr>
              <w:keepNext/>
              <w:tabs>
                <w:tab w:val="num" w:pos="1276"/>
              </w:tabs>
              <w:jc w:val="center"/>
              <w:rPr>
                <w:rFonts w:cs="Arial"/>
                <w:b/>
                <w:color w:val="000000"/>
                <w:lang w:eastAsia="en-GB"/>
              </w:rPr>
            </w:pPr>
            <w:r>
              <w:rPr>
                <w:rFonts w:cs="Arial"/>
                <w:b/>
                <w:color w:val="000000"/>
                <w:lang w:eastAsia="en-GB"/>
              </w:rPr>
              <w:t>2015+</w:t>
            </w:r>
          </w:p>
        </w:tc>
      </w:tr>
      <w:tr w:rsidR="007A378A" w:rsidRPr="00874DAB" w:rsidTr="00B37D17">
        <w:trPr>
          <w:trHeight w:val="300"/>
        </w:trPr>
        <w:tc>
          <w:tcPr>
            <w:tcW w:w="960" w:type="dxa"/>
            <w:noWrap/>
            <w:vAlign w:val="bottom"/>
          </w:tcPr>
          <w:p w:rsidR="007A378A" w:rsidRDefault="007A378A">
            <w:pPr>
              <w:keepNext/>
              <w:tabs>
                <w:tab w:val="num" w:pos="1276"/>
              </w:tabs>
              <w:rPr>
                <w:rFonts w:cs="Arial"/>
                <w:b/>
                <w:color w:val="000000"/>
                <w:lang w:eastAsia="en-GB"/>
              </w:rPr>
            </w:pPr>
          </w:p>
        </w:tc>
        <w:tc>
          <w:tcPr>
            <w:tcW w:w="960" w:type="dxa"/>
            <w:noWrap/>
            <w:vAlign w:val="bottom"/>
          </w:tcPr>
          <w:p w:rsidR="007A378A" w:rsidRDefault="007A378A">
            <w:pPr>
              <w:keepNext/>
              <w:tabs>
                <w:tab w:val="num" w:pos="1276"/>
              </w:tabs>
              <w:jc w:val="right"/>
              <w:rPr>
                <w:rFonts w:cs="Arial"/>
                <w:b/>
                <w:color w:val="000000"/>
                <w:lang w:eastAsia="en-GB"/>
              </w:rPr>
            </w:pPr>
            <w:r w:rsidRPr="00874DAB">
              <w:rPr>
                <w:rFonts w:cs="Arial"/>
                <w:b/>
                <w:color w:val="000000"/>
                <w:lang w:eastAsia="en-GB"/>
              </w:rPr>
              <w:t>TAG</w:t>
            </w:r>
          </w:p>
        </w:tc>
        <w:tc>
          <w:tcPr>
            <w:tcW w:w="1172" w:type="dxa"/>
            <w:noWrap/>
            <w:vAlign w:val="bottom"/>
          </w:tcPr>
          <w:p w:rsidR="007A378A" w:rsidRDefault="007A378A">
            <w:pPr>
              <w:keepNext/>
              <w:tabs>
                <w:tab w:val="num" w:pos="1276"/>
              </w:tabs>
              <w:jc w:val="right"/>
              <w:rPr>
                <w:rFonts w:cs="Arial"/>
                <w:b/>
                <w:color w:val="000000"/>
                <w:lang w:eastAsia="en-GB"/>
              </w:rPr>
            </w:pPr>
            <w:r w:rsidRPr="00874DAB">
              <w:rPr>
                <w:rFonts w:cs="Arial"/>
                <w:b/>
                <w:color w:val="000000"/>
                <w:lang w:eastAsia="en-GB"/>
              </w:rPr>
              <w:t>L</w:t>
            </w:r>
            <w:r>
              <w:rPr>
                <w:rFonts w:cs="Arial"/>
                <w:b/>
                <w:color w:val="000000"/>
                <w:lang w:eastAsia="en-GB"/>
              </w:rPr>
              <w:t xml:space="preserve">ocal </w:t>
            </w:r>
            <w:r w:rsidRPr="00874DAB">
              <w:rPr>
                <w:rFonts w:cs="Arial"/>
                <w:b/>
                <w:color w:val="000000"/>
                <w:lang w:eastAsia="en-GB"/>
              </w:rPr>
              <w:t>R</w:t>
            </w:r>
            <w:r>
              <w:rPr>
                <w:rFonts w:cs="Arial"/>
                <w:b/>
                <w:color w:val="000000"/>
                <w:lang w:eastAsia="en-GB"/>
              </w:rPr>
              <w:t>esidents</w:t>
            </w:r>
          </w:p>
        </w:tc>
        <w:tc>
          <w:tcPr>
            <w:tcW w:w="1134" w:type="dxa"/>
            <w:noWrap/>
            <w:vAlign w:val="bottom"/>
          </w:tcPr>
          <w:p w:rsidR="007A378A" w:rsidRDefault="007A378A">
            <w:pPr>
              <w:keepNext/>
              <w:tabs>
                <w:tab w:val="num" w:pos="1276"/>
              </w:tabs>
              <w:jc w:val="right"/>
              <w:rPr>
                <w:rFonts w:cs="Arial"/>
                <w:b/>
                <w:color w:val="000000"/>
                <w:lang w:eastAsia="en-GB"/>
              </w:rPr>
            </w:pPr>
            <w:r w:rsidRPr="00874DAB">
              <w:rPr>
                <w:rFonts w:cs="Arial"/>
                <w:b/>
                <w:color w:val="000000"/>
                <w:lang w:eastAsia="en-GB"/>
              </w:rPr>
              <w:t>Cash</w:t>
            </w:r>
          </w:p>
        </w:tc>
        <w:tc>
          <w:tcPr>
            <w:tcW w:w="992" w:type="dxa"/>
            <w:noWrap/>
            <w:vAlign w:val="bottom"/>
          </w:tcPr>
          <w:p w:rsidR="007A378A" w:rsidRDefault="00992257">
            <w:pPr>
              <w:keepNext/>
              <w:tabs>
                <w:tab w:val="num" w:pos="1276"/>
              </w:tabs>
              <w:jc w:val="right"/>
              <w:rPr>
                <w:rFonts w:cs="Arial"/>
                <w:b/>
                <w:color w:val="000000"/>
                <w:lang w:eastAsia="en-GB"/>
              </w:rPr>
            </w:pPr>
            <w:r>
              <w:rPr>
                <w:rFonts w:cs="Arial"/>
                <w:b/>
                <w:color w:val="000000"/>
                <w:lang w:eastAsia="en-GB"/>
              </w:rPr>
              <w:t>Exempt</w:t>
            </w:r>
          </w:p>
        </w:tc>
        <w:tc>
          <w:tcPr>
            <w:tcW w:w="941" w:type="dxa"/>
            <w:vAlign w:val="bottom"/>
          </w:tcPr>
          <w:p w:rsidR="007A378A" w:rsidRDefault="007A378A">
            <w:pPr>
              <w:keepNext/>
              <w:tabs>
                <w:tab w:val="num" w:pos="1276"/>
              </w:tabs>
              <w:jc w:val="right"/>
              <w:rPr>
                <w:rFonts w:cs="Arial"/>
                <w:b/>
                <w:color w:val="000000"/>
                <w:lang w:eastAsia="en-GB"/>
              </w:rPr>
            </w:pPr>
            <w:r w:rsidRPr="00874DAB">
              <w:rPr>
                <w:rFonts w:cs="Arial"/>
                <w:b/>
                <w:color w:val="000000"/>
                <w:lang w:eastAsia="en-GB"/>
              </w:rPr>
              <w:t>TAG</w:t>
            </w:r>
          </w:p>
        </w:tc>
        <w:tc>
          <w:tcPr>
            <w:tcW w:w="1172" w:type="dxa"/>
            <w:vAlign w:val="bottom"/>
          </w:tcPr>
          <w:p w:rsidR="007A378A" w:rsidRDefault="007A378A">
            <w:pPr>
              <w:keepNext/>
              <w:tabs>
                <w:tab w:val="num" w:pos="1276"/>
              </w:tabs>
              <w:jc w:val="right"/>
              <w:rPr>
                <w:rFonts w:cs="Arial"/>
                <w:b/>
                <w:color w:val="000000"/>
                <w:lang w:eastAsia="en-GB"/>
              </w:rPr>
            </w:pPr>
            <w:r w:rsidRPr="00874DAB">
              <w:rPr>
                <w:rFonts w:cs="Arial"/>
                <w:b/>
                <w:color w:val="000000"/>
                <w:lang w:eastAsia="en-GB"/>
              </w:rPr>
              <w:t>L</w:t>
            </w:r>
            <w:r>
              <w:rPr>
                <w:rFonts w:cs="Arial"/>
                <w:b/>
                <w:color w:val="000000"/>
                <w:lang w:eastAsia="en-GB"/>
              </w:rPr>
              <w:t xml:space="preserve">ocal </w:t>
            </w:r>
            <w:r w:rsidRPr="00874DAB">
              <w:rPr>
                <w:rFonts w:cs="Arial"/>
                <w:b/>
                <w:color w:val="000000"/>
                <w:lang w:eastAsia="en-GB"/>
              </w:rPr>
              <w:t>R</w:t>
            </w:r>
            <w:r>
              <w:rPr>
                <w:rFonts w:cs="Arial"/>
                <w:b/>
                <w:color w:val="000000"/>
                <w:lang w:eastAsia="en-GB"/>
              </w:rPr>
              <w:t>esidents</w:t>
            </w:r>
          </w:p>
        </w:tc>
        <w:tc>
          <w:tcPr>
            <w:tcW w:w="941" w:type="dxa"/>
            <w:vAlign w:val="bottom"/>
          </w:tcPr>
          <w:p w:rsidR="007A378A" w:rsidRDefault="007A378A">
            <w:pPr>
              <w:keepNext/>
              <w:tabs>
                <w:tab w:val="num" w:pos="1276"/>
              </w:tabs>
              <w:jc w:val="right"/>
              <w:rPr>
                <w:rFonts w:cs="Arial"/>
                <w:b/>
                <w:color w:val="000000"/>
                <w:lang w:eastAsia="en-GB"/>
              </w:rPr>
            </w:pPr>
            <w:r w:rsidRPr="00874DAB">
              <w:rPr>
                <w:rFonts w:cs="Arial"/>
                <w:b/>
                <w:color w:val="000000"/>
                <w:lang w:eastAsia="en-GB"/>
              </w:rPr>
              <w:t>Cash</w:t>
            </w:r>
          </w:p>
        </w:tc>
        <w:tc>
          <w:tcPr>
            <w:tcW w:w="914" w:type="dxa"/>
            <w:vAlign w:val="bottom"/>
          </w:tcPr>
          <w:p w:rsidR="007A378A" w:rsidRDefault="00992257">
            <w:pPr>
              <w:keepNext/>
              <w:tabs>
                <w:tab w:val="num" w:pos="1276"/>
              </w:tabs>
              <w:jc w:val="right"/>
              <w:rPr>
                <w:rFonts w:cs="Arial"/>
                <w:b/>
                <w:color w:val="000000"/>
                <w:lang w:eastAsia="en-GB"/>
              </w:rPr>
            </w:pPr>
            <w:r>
              <w:rPr>
                <w:rFonts w:cs="Arial"/>
                <w:b/>
                <w:color w:val="000000"/>
                <w:lang w:eastAsia="en-GB"/>
              </w:rPr>
              <w:t>Exempt</w:t>
            </w:r>
          </w:p>
        </w:tc>
      </w:tr>
      <w:tr w:rsidR="007A378A" w:rsidRPr="00CE548A" w:rsidTr="00B37D17">
        <w:trPr>
          <w:trHeight w:val="300"/>
        </w:trPr>
        <w:tc>
          <w:tcPr>
            <w:tcW w:w="960" w:type="dxa"/>
            <w:noWrap/>
            <w:vAlign w:val="bottom"/>
          </w:tcPr>
          <w:p w:rsidR="007A378A" w:rsidRDefault="007A378A">
            <w:pPr>
              <w:keepNext/>
              <w:tabs>
                <w:tab w:val="num" w:pos="1276"/>
              </w:tabs>
              <w:rPr>
                <w:rFonts w:cs="Arial"/>
                <w:color w:val="000000"/>
                <w:lang w:eastAsia="en-GB"/>
              </w:rPr>
            </w:pPr>
            <w:r w:rsidRPr="00CE548A">
              <w:rPr>
                <w:rFonts w:cs="Arial"/>
                <w:color w:val="000000"/>
                <w:lang w:eastAsia="en-GB"/>
              </w:rPr>
              <w:t>Car</w:t>
            </w:r>
          </w:p>
        </w:tc>
        <w:tc>
          <w:tcPr>
            <w:tcW w:w="960" w:type="dxa"/>
            <w:noWrap/>
            <w:vAlign w:val="bottom"/>
          </w:tcPr>
          <w:p w:rsidR="007A378A" w:rsidRDefault="007A378A">
            <w:pPr>
              <w:keepNext/>
              <w:tabs>
                <w:tab w:val="num" w:pos="1276"/>
              </w:tabs>
              <w:jc w:val="right"/>
              <w:rPr>
                <w:rFonts w:cs="Arial"/>
                <w:color w:val="000000"/>
                <w:lang w:eastAsia="en-GB"/>
              </w:rPr>
            </w:pPr>
            <w:r w:rsidRPr="00CE548A">
              <w:rPr>
                <w:rFonts w:cs="Arial"/>
                <w:color w:val="000000"/>
                <w:lang w:eastAsia="en-GB"/>
              </w:rPr>
              <w:t>22.9%</w:t>
            </w:r>
          </w:p>
        </w:tc>
        <w:tc>
          <w:tcPr>
            <w:tcW w:w="1172" w:type="dxa"/>
            <w:noWrap/>
            <w:vAlign w:val="bottom"/>
          </w:tcPr>
          <w:p w:rsidR="007A378A" w:rsidRDefault="007A378A">
            <w:pPr>
              <w:keepNext/>
              <w:tabs>
                <w:tab w:val="num" w:pos="1276"/>
              </w:tabs>
              <w:jc w:val="right"/>
              <w:rPr>
                <w:rFonts w:cs="Arial"/>
                <w:color w:val="000000"/>
                <w:lang w:eastAsia="en-GB"/>
              </w:rPr>
            </w:pPr>
            <w:r w:rsidRPr="00CE548A">
              <w:rPr>
                <w:rFonts w:cs="Arial"/>
                <w:color w:val="000000"/>
                <w:lang w:eastAsia="en-GB"/>
              </w:rPr>
              <w:t>4.9%</w:t>
            </w:r>
          </w:p>
        </w:tc>
        <w:tc>
          <w:tcPr>
            <w:tcW w:w="1134" w:type="dxa"/>
            <w:noWrap/>
            <w:vAlign w:val="bottom"/>
          </w:tcPr>
          <w:p w:rsidR="007A378A" w:rsidRDefault="007A378A">
            <w:pPr>
              <w:keepNext/>
              <w:tabs>
                <w:tab w:val="num" w:pos="1276"/>
              </w:tabs>
              <w:jc w:val="right"/>
              <w:rPr>
                <w:rFonts w:cs="Arial"/>
                <w:color w:val="000000"/>
                <w:lang w:eastAsia="en-GB"/>
              </w:rPr>
            </w:pPr>
            <w:r w:rsidRPr="00CE548A">
              <w:rPr>
                <w:rFonts w:cs="Arial"/>
                <w:color w:val="000000"/>
                <w:lang w:eastAsia="en-GB"/>
              </w:rPr>
              <w:t>70.9%</w:t>
            </w:r>
          </w:p>
        </w:tc>
        <w:tc>
          <w:tcPr>
            <w:tcW w:w="992" w:type="dxa"/>
            <w:noWrap/>
            <w:vAlign w:val="bottom"/>
          </w:tcPr>
          <w:p w:rsidR="007A378A" w:rsidRDefault="007A378A">
            <w:pPr>
              <w:keepNext/>
              <w:tabs>
                <w:tab w:val="num" w:pos="1276"/>
              </w:tabs>
              <w:jc w:val="right"/>
              <w:rPr>
                <w:rFonts w:cs="Arial"/>
                <w:color w:val="000000"/>
                <w:lang w:eastAsia="en-GB"/>
              </w:rPr>
            </w:pPr>
            <w:r w:rsidRPr="00CE548A">
              <w:rPr>
                <w:rFonts w:cs="Arial"/>
                <w:color w:val="000000"/>
                <w:lang w:eastAsia="en-GB"/>
              </w:rPr>
              <w:t>1.2%</w:t>
            </w:r>
          </w:p>
        </w:tc>
        <w:tc>
          <w:tcPr>
            <w:tcW w:w="941" w:type="dxa"/>
            <w:vAlign w:val="bottom"/>
          </w:tcPr>
          <w:p w:rsidR="007A378A" w:rsidRPr="00C56982" w:rsidRDefault="007A378A" w:rsidP="00C56982">
            <w:pPr>
              <w:keepNext/>
              <w:tabs>
                <w:tab w:val="num" w:pos="1276"/>
              </w:tabs>
              <w:jc w:val="right"/>
              <w:rPr>
                <w:rFonts w:cs="Arial"/>
                <w:color w:val="000000"/>
                <w:lang w:eastAsia="en-GB"/>
              </w:rPr>
            </w:pPr>
            <w:r w:rsidRPr="00C56982">
              <w:rPr>
                <w:rFonts w:cs="Arial"/>
                <w:color w:val="000000"/>
                <w:lang w:eastAsia="en-GB"/>
              </w:rPr>
              <w:t>46.9%</w:t>
            </w:r>
          </w:p>
        </w:tc>
        <w:tc>
          <w:tcPr>
            <w:tcW w:w="1172" w:type="dxa"/>
            <w:vAlign w:val="bottom"/>
          </w:tcPr>
          <w:p w:rsidR="007A378A" w:rsidRDefault="007A378A">
            <w:pPr>
              <w:keepNext/>
              <w:tabs>
                <w:tab w:val="num" w:pos="1276"/>
              </w:tabs>
              <w:jc w:val="right"/>
              <w:rPr>
                <w:rFonts w:cs="Arial"/>
                <w:color w:val="000000"/>
                <w:lang w:eastAsia="en-GB"/>
              </w:rPr>
            </w:pPr>
            <w:r w:rsidRPr="00CE548A">
              <w:rPr>
                <w:rFonts w:cs="Arial"/>
                <w:color w:val="000000"/>
                <w:lang w:eastAsia="en-GB"/>
              </w:rPr>
              <w:t>4.9%</w:t>
            </w:r>
          </w:p>
        </w:tc>
        <w:tc>
          <w:tcPr>
            <w:tcW w:w="941" w:type="dxa"/>
            <w:vAlign w:val="bottom"/>
          </w:tcPr>
          <w:p w:rsidR="007A378A" w:rsidRDefault="007A378A">
            <w:pPr>
              <w:keepNext/>
              <w:tabs>
                <w:tab w:val="num" w:pos="1276"/>
              </w:tabs>
              <w:jc w:val="right"/>
              <w:rPr>
                <w:rFonts w:cs="Arial"/>
                <w:color w:val="000000"/>
                <w:lang w:eastAsia="en-GB"/>
              </w:rPr>
            </w:pPr>
            <w:r>
              <w:rPr>
                <w:rFonts w:cs="Arial"/>
                <w:color w:val="000000"/>
                <w:lang w:eastAsia="en-GB"/>
              </w:rPr>
              <w:t>47.0%</w:t>
            </w:r>
          </w:p>
        </w:tc>
        <w:tc>
          <w:tcPr>
            <w:tcW w:w="914" w:type="dxa"/>
            <w:vAlign w:val="bottom"/>
          </w:tcPr>
          <w:p w:rsidR="007A378A" w:rsidRDefault="007A378A">
            <w:pPr>
              <w:keepNext/>
              <w:tabs>
                <w:tab w:val="num" w:pos="1276"/>
              </w:tabs>
              <w:jc w:val="right"/>
              <w:rPr>
                <w:rFonts w:cs="Arial"/>
                <w:color w:val="000000"/>
                <w:lang w:eastAsia="en-GB"/>
              </w:rPr>
            </w:pPr>
            <w:r w:rsidRPr="00CE548A">
              <w:rPr>
                <w:rFonts w:cs="Arial"/>
                <w:color w:val="000000"/>
                <w:lang w:eastAsia="en-GB"/>
              </w:rPr>
              <w:t>1.2%</w:t>
            </w:r>
          </w:p>
        </w:tc>
      </w:tr>
      <w:tr w:rsidR="007A378A" w:rsidRPr="00CE548A" w:rsidTr="00B37D17">
        <w:trPr>
          <w:trHeight w:val="300"/>
        </w:trPr>
        <w:tc>
          <w:tcPr>
            <w:tcW w:w="960" w:type="dxa"/>
            <w:noWrap/>
            <w:vAlign w:val="bottom"/>
          </w:tcPr>
          <w:p w:rsidR="007A378A" w:rsidRPr="00CE548A" w:rsidRDefault="007A378A" w:rsidP="003F6E45">
            <w:pPr>
              <w:tabs>
                <w:tab w:val="num" w:pos="1276"/>
              </w:tabs>
              <w:rPr>
                <w:rFonts w:cs="Arial"/>
                <w:color w:val="000000"/>
                <w:lang w:eastAsia="en-GB"/>
              </w:rPr>
            </w:pPr>
            <w:r w:rsidRPr="00CE548A">
              <w:rPr>
                <w:rFonts w:cs="Arial"/>
                <w:color w:val="000000"/>
                <w:lang w:eastAsia="en-GB"/>
              </w:rPr>
              <w:t>LGV</w:t>
            </w:r>
          </w:p>
        </w:tc>
        <w:tc>
          <w:tcPr>
            <w:tcW w:w="960"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41.0%</w:t>
            </w:r>
          </w:p>
        </w:tc>
        <w:tc>
          <w:tcPr>
            <w:tcW w:w="1172"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0.0%</w:t>
            </w:r>
          </w:p>
        </w:tc>
        <w:tc>
          <w:tcPr>
            <w:tcW w:w="1134"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58.3%</w:t>
            </w:r>
          </w:p>
        </w:tc>
        <w:tc>
          <w:tcPr>
            <w:tcW w:w="992"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0.7%</w:t>
            </w:r>
          </w:p>
        </w:tc>
        <w:tc>
          <w:tcPr>
            <w:tcW w:w="941" w:type="dxa"/>
            <w:vAlign w:val="bottom"/>
          </w:tcPr>
          <w:p w:rsidR="007A378A" w:rsidRPr="00C56982" w:rsidRDefault="007A378A" w:rsidP="00C56982">
            <w:pPr>
              <w:keepNext/>
              <w:tabs>
                <w:tab w:val="num" w:pos="1276"/>
              </w:tabs>
              <w:jc w:val="right"/>
              <w:rPr>
                <w:rFonts w:cs="Arial"/>
                <w:color w:val="000000"/>
                <w:lang w:eastAsia="en-GB"/>
              </w:rPr>
            </w:pPr>
            <w:r w:rsidRPr="00C56982">
              <w:rPr>
                <w:rFonts w:cs="Arial"/>
                <w:color w:val="000000"/>
                <w:lang w:eastAsia="en-GB"/>
              </w:rPr>
              <w:t>43.0%</w:t>
            </w:r>
          </w:p>
        </w:tc>
        <w:tc>
          <w:tcPr>
            <w:tcW w:w="1172" w:type="dxa"/>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0.0%</w:t>
            </w:r>
          </w:p>
        </w:tc>
        <w:tc>
          <w:tcPr>
            <w:tcW w:w="941" w:type="dxa"/>
            <w:vAlign w:val="bottom"/>
          </w:tcPr>
          <w:p w:rsidR="007A378A" w:rsidRPr="00CE548A" w:rsidRDefault="007A378A" w:rsidP="003F6E45">
            <w:pPr>
              <w:tabs>
                <w:tab w:val="num" w:pos="1276"/>
              </w:tabs>
              <w:jc w:val="right"/>
              <w:rPr>
                <w:rFonts w:cs="Arial"/>
                <w:color w:val="000000"/>
                <w:lang w:eastAsia="en-GB"/>
              </w:rPr>
            </w:pPr>
            <w:r>
              <w:rPr>
                <w:rFonts w:cs="Arial"/>
                <w:color w:val="000000"/>
                <w:lang w:eastAsia="en-GB"/>
              </w:rPr>
              <w:t>56</w:t>
            </w:r>
            <w:r w:rsidRPr="00CE548A">
              <w:rPr>
                <w:rFonts w:cs="Arial"/>
                <w:color w:val="000000"/>
                <w:lang w:eastAsia="en-GB"/>
              </w:rPr>
              <w:t>.3%</w:t>
            </w:r>
          </w:p>
        </w:tc>
        <w:tc>
          <w:tcPr>
            <w:tcW w:w="914" w:type="dxa"/>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0.7%</w:t>
            </w:r>
          </w:p>
        </w:tc>
      </w:tr>
      <w:tr w:rsidR="007A378A" w:rsidRPr="00CE548A" w:rsidTr="00B37D17">
        <w:trPr>
          <w:trHeight w:val="300"/>
        </w:trPr>
        <w:tc>
          <w:tcPr>
            <w:tcW w:w="960" w:type="dxa"/>
            <w:noWrap/>
            <w:vAlign w:val="bottom"/>
          </w:tcPr>
          <w:p w:rsidR="007A378A" w:rsidRPr="00CE548A" w:rsidRDefault="007A378A" w:rsidP="003F6E45">
            <w:pPr>
              <w:tabs>
                <w:tab w:val="num" w:pos="1276"/>
              </w:tabs>
              <w:rPr>
                <w:rFonts w:cs="Arial"/>
                <w:color w:val="000000"/>
                <w:lang w:eastAsia="en-GB"/>
              </w:rPr>
            </w:pPr>
            <w:r w:rsidRPr="00CE548A">
              <w:rPr>
                <w:rFonts w:cs="Arial"/>
                <w:color w:val="000000"/>
                <w:lang w:eastAsia="en-GB"/>
              </w:rPr>
              <w:t>HGV</w:t>
            </w:r>
          </w:p>
        </w:tc>
        <w:tc>
          <w:tcPr>
            <w:tcW w:w="960"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70.7%</w:t>
            </w:r>
          </w:p>
        </w:tc>
        <w:tc>
          <w:tcPr>
            <w:tcW w:w="1172"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0.0%</w:t>
            </w:r>
          </w:p>
        </w:tc>
        <w:tc>
          <w:tcPr>
            <w:tcW w:w="1134"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29.0%</w:t>
            </w:r>
          </w:p>
        </w:tc>
        <w:tc>
          <w:tcPr>
            <w:tcW w:w="992" w:type="dxa"/>
            <w:noWrap/>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0.3%</w:t>
            </w:r>
          </w:p>
        </w:tc>
        <w:tc>
          <w:tcPr>
            <w:tcW w:w="941" w:type="dxa"/>
            <w:vAlign w:val="bottom"/>
          </w:tcPr>
          <w:p w:rsidR="007A378A" w:rsidRPr="00C56982" w:rsidRDefault="007A378A" w:rsidP="00C56982">
            <w:pPr>
              <w:keepNext/>
              <w:tabs>
                <w:tab w:val="num" w:pos="1276"/>
              </w:tabs>
              <w:jc w:val="right"/>
              <w:rPr>
                <w:rFonts w:cs="Arial"/>
                <w:color w:val="000000"/>
                <w:lang w:eastAsia="en-GB"/>
              </w:rPr>
            </w:pPr>
            <w:r w:rsidRPr="00C56982">
              <w:rPr>
                <w:rFonts w:cs="Arial"/>
                <w:color w:val="000000"/>
                <w:lang w:eastAsia="en-GB"/>
              </w:rPr>
              <w:t>70.7%</w:t>
            </w:r>
          </w:p>
        </w:tc>
        <w:tc>
          <w:tcPr>
            <w:tcW w:w="1172" w:type="dxa"/>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0.0%</w:t>
            </w:r>
          </w:p>
        </w:tc>
        <w:tc>
          <w:tcPr>
            <w:tcW w:w="941" w:type="dxa"/>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29.0%</w:t>
            </w:r>
          </w:p>
        </w:tc>
        <w:tc>
          <w:tcPr>
            <w:tcW w:w="914" w:type="dxa"/>
            <w:vAlign w:val="bottom"/>
          </w:tcPr>
          <w:p w:rsidR="007A378A" w:rsidRPr="00CE548A" w:rsidRDefault="007A378A" w:rsidP="003F6E45">
            <w:pPr>
              <w:tabs>
                <w:tab w:val="num" w:pos="1276"/>
              </w:tabs>
              <w:jc w:val="right"/>
              <w:rPr>
                <w:rFonts w:cs="Arial"/>
                <w:color w:val="000000"/>
                <w:lang w:eastAsia="en-GB"/>
              </w:rPr>
            </w:pPr>
            <w:r w:rsidRPr="00CE548A">
              <w:rPr>
                <w:rFonts w:cs="Arial"/>
                <w:color w:val="000000"/>
                <w:lang w:eastAsia="en-GB"/>
              </w:rPr>
              <w:t>0.3%</w:t>
            </w:r>
          </w:p>
        </w:tc>
      </w:tr>
    </w:tbl>
    <w:p w:rsidR="007A378A" w:rsidRDefault="007A378A" w:rsidP="0039632B">
      <w:pPr>
        <w:spacing w:after="120"/>
      </w:pPr>
    </w:p>
    <w:p w:rsidR="00302E0C" w:rsidRDefault="007A378A">
      <w:pPr>
        <w:pStyle w:val="Para3"/>
        <w:numPr>
          <w:ilvl w:val="2"/>
          <w:numId w:val="10"/>
        </w:numPr>
        <w:tabs>
          <w:tab w:val="clear" w:pos="1440"/>
          <w:tab w:val="num" w:pos="709"/>
        </w:tabs>
        <w:rPr>
          <w:i w:val="0"/>
          <w:sz w:val="20"/>
          <w:szCs w:val="20"/>
        </w:rPr>
      </w:pPr>
      <w:r w:rsidRPr="0039632B">
        <w:rPr>
          <w:i w:val="0"/>
          <w:sz w:val="20"/>
          <w:szCs w:val="20"/>
        </w:rPr>
        <w:t>The final average tolls assumed in estimation of revenue</w:t>
      </w:r>
      <w:r>
        <w:rPr>
          <w:i w:val="0"/>
          <w:sz w:val="20"/>
          <w:szCs w:val="20"/>
        </w:rPr>
        <w:t>, in 2010 prices, are shown in T</w:t>
      </w:r>
      <w:r w:rsidRPr="0039632B">
        <w:rPr>
          <w:i w:val="0"/>
          <w:sz w:val="20"/>
          <w:szCs w:val="20"/>
        </w:rPr>
        <w:t xml:space="preserve">able </w:t>
      </w:r>
      <w:r>
        <w:rPr>
          <w:i w:val="0"/>
          <w:sz w:val="20"/>
          <w:szCs w:val="20"/>
        </w:rPr>
        <w:t>7</w:t>
      </w:r>
      <w:r w:rsidRPr="0039632B">
        <w:rPr>
          <w:i w:val="0"/>
          <w:sz w:val="20"/>
          <w:szCs w:val="20"/>
        </w:rPr>
        <w:t xml:space="preserve">. From 2015 onwards they assume an additional 1.5% </w:t>
      </w:r>
      <w:r w:rsidR="00992257">
        <w:rPr>
          <w:i w:val="0"/>
          <w:sz w:val="20"/>
          <w:szCs w:val="20"/>
        </w:rPr>
        <w:t xml:space="preserve">non-compliance; </w:t>
      </w:r>
      <w:r w:rsidRPr="0039632B">
        <w:rPr>
          <w:i w:val="0"/>
          <w:sz w:val="20"/>
          <w:szCs w:val="20"/>
        </w:rPr>
        <w:t xml:space="preserve">users who should pay, but </w:t>
      </w:r>
      <w:r>
        <w:rPr>
          <w:i w:val="0"/>
          <w:sz w:val="20"/>
          <w:szCs w:val="20"/>
        </w:rPr>
        <w:t>are not identified by the detection systems</w:t>
      </w:r>
      <w:r w:rsidRPr="0039632B">
        <w:rPr>
          <w:i w:val="0"/>
          <w:sz w:val="20"/>
          <w:szCs w:val="20"/>
        </w:rPr>
        <w:t xml:space="preserve">, derived by review of similar </w:t>
      </w:r>
      <w:r w:rsidR="00AF0603">
        <w:rPr>
          <w:i w:val="0"/>
          <w:sz w:val="20"/>
          <w:szCs w:val="20"/>
        </w:rPr>
        <w:t>free-flow</w:t>
      </w:r>
      <w:r w:rsidRPr="0039632B">
        <w:rPr>
          <w:i w:val="0"/>
          <w:sz w:val="20"/>
          <w:szCs w:val="20"/>
        </w:rPr>
        <w:t xml:space="preserve"> tolling systems elsewhere.</w:t>
      </w:r>
      <w:r w:rsidR="00905B1F">
        <w:rPr>
          <w:i w:val="0"/>
          <w:sz w:val="20"/>
          <w:szCs w:val="20"/>
        </w:rPr>
        <w:t xml:space="preserve"> </w:t>
      </w:r>
    </w:p>
    <w:p w:rsidR="007A378A" w:rsidRDefault="007A378A">
      <w:pPr>
        <w:pStyle w:val="Caption"/>
        <w:keepNext/>
        <w:tabs>
          <w:tab w:val="num" w:pos="709"/>
        </w:tabs>
        <w:spacing w:after="120"/>
        <w:rPr>
          <w:b/>
          <w:sz w:val="20"/>
          <w:szCs w:val="20"/>
        </w:rPr>
      </w:pPr>
      <w:r>
        <w:rPr>
          <w:b/>
          <w:sz w:val="20"/>
          <w:szCs w:val="20"/>
        </w:rPr>
        <w:tab/>
      </w:r>
      <w:r w:rsidRPr="009B56E6">
        <w:rPr>
          <w:b/>
          <w:sz w:val="20"/>
          <w:szCs w:val="20"/>
        </w:rPr>
        <w:t>Table</w:t>
      </w:r>
      <w:r>
        <w:rPr>
          <w:b/>
          <w:sz w:val="20"/>
          <w:szCs w:val="20"/>
        </w:rPr>
        <w:t xml:space="preserve"> 7</w:t>
      </w:r>
      <w:r w:rsidRPr="009B56E6">
        <w:rPr>
          <w:b/>
          <w:sz w:val="20"/>
          <w:szCs w:val="20"/>
        </w:rPr>
        <w:t xml:space="preserve">: </w:t>
      </w:r>
      <w:r>
        <w:rPr>
          <w:b/>
          <w:sz w:val="20"/>
          <w:szCs w:val="20"/>
        </w:rPr>
        <w:t>Tolls for Revenue Estimation</w:t>
      </w:r>
    </w:p>
    <w:tbl>
      <w:tblPr>
        <w:tblW w:w="5424" w:type="dxa"/>
        <w:tblInd w:w="817" w:type="dxa"/>
        <w:tblBorders>
          <w:top w:val="single" w:sz="4" w:space="0" w:color="auto"/>
          <w:bottom w:val="single" w:sz="4" w:space="0" w:color="auto"/>
          <w:insideH w:val="single" w:sz="4" w:space="0" w:color="auto"/>
          <w:insideV w:val="single" w:sz="4" w:space="0" w:color="auto"/>
        </w:tblBorders>
        <w:tblLook w:val="00A0"/>
      </w:tblPr>
      <w:tblGrid>
        <w:gridCol w:w="1236"/>
        <w:gridCol w:w="1436"/>
        <w:gridCol w:w="1436"/>
        <w:gridCol w:w="1316"/>
      </w:tblGrid>
      <w:tr w:rsidR="007A378A" w:rsidRPr="00A46562" w:rsidTr="00B37D17">
        <w:trPr>
          <w:trHeight w:val="255"/>
        </w:trPr>
        <w:tc>
          <w:tcPr>
            <w:tcW w:w="1236" w:type="dxa"/>
            <w:tcBorders>
              <w:left w:val="single" w:sz="4" w:space="0" w:color="auto"/>
            </w:tcBorders>
            <w:noWrap/>
            <w:vAlign w:val="bottom"/>
          </w:tcPr>
          <w:p w:rsidR="007A378A" w:rsidRPr="00A46562" w:rsidRDefault="007A378A" w:rsidP="003F6E45">
            <w:pPr>
              <w:keepNext/>
              <w:rPr>
                <w:rFonts w:cs="Arial"/>
                <w:lang w:eastAsia="en-GB"/>
              </w:rPr>
            </w:pPr>
          </w:p>
        </w:tc>
        <w:tc>
          <w:tcPr>
            <w:tcW w:w="1436" w:type="dxa"/>
            <w:noWrap/>
            <w:vAlign w:val="bottom"/>
          </w:tcPr>
          <w:p w:rsidR="007A378A" w:rsidRPr="00A46562" w:rsidRDefault="007A378A" w:rsidP="007E16B3">
            <w:pPr>
              <w:keepNext/>
              <w:jc w:val="center"/>
              <w:rPr>
                <w:rFonts w:cs="Arial"/>
                <w:lang w:eastAsia="en-GB"/>
              </w:rPr>
            </w:pPr>
            <w:r w:rsidRPr="00A46562">
              <w:rPr>
                <w:rFonts w:cs="Arial"/>
                <w:lang w:eastAsia="en-GB"/>
              </w:rPr>
              <w:t>2010-2012</w:t>
            </w:r>
          </w:p>
        </w:tc>
        <w:tc>
          <w:tcPr>
            <w:tcW w:w="1436" w:type="dxa"/>
            <w:noWrap/>
            <w:vAlign w:val="bottom"/>
          </w:tcPr>
          <w:p w:rsidR="007A378A" w:rsidRPr="00A46562" w:rsidRDefault="007A378A" w:rsidP="007E16B3">
            <w:pPr>
              <w:keepNext/>
              <w:jc w:val="center"/>
              <w:rPr>
                <w:rFonts w:cs="Arial"/>
                <w:lang w:eastAsia="en-GB"/>
              </w:rPr>
            </w:pPr>
            <w:r w:rsidRPr="00A46562">
              <w:rPr>
                <w:rFonts w:cs="Arial"/>
                <w:lang w:eastAsia="en-GB"/>
              </w:rPr>
              <w:t>2013-2014</w:t>
            </w:r>
          </w:p>
        </w:tc>
        <w:tc>
          <w:tcPr>
            <w:tcW w:w="1316" w:type="dxa"/>
            <w:tcBorders>
              <w:right w:val="single" w:sz="4" w:space="0" w:color="auto"/>
            </w:tcBorders>
            <w:noWrap/>
            <w:vAlign w:val="bottom"/>
          </w:tcPr>
          <w:p w:rsidR="007A378A" w:rsidRPr="00A46562" w:rsidRDefault="007A378A" w:rsidP="007E16B3">
            <w:pPr>
              <w:keepNext/>
              <w:jc w:val="center"/>
              <w:rPr>
                <w:rFonts w:cs="Arial"/>
                <w:lang w:eastAsia="en-GB"/>
              </w:rPr>
            </w:pPr>
            <w:r w:rsidRPr="00A46562">
              <w:rPr>
                <w:rFonts w:cs="Arial"/>
                <w:lang w:eastAsia="en-GB"/>
              </w:rPr>
              <w:t>2015+</w:t>
            </w:r>
          </w:p>
        </w:tc>
      </w:tr>
      <w:tr w:rsidR="007A378A" w:rsidRPr="00A46562" w:rsidTr="00B37D17">
        <w:trPr>
          <w:trHeight w:val="255"/>
        </w:trPr>
        <w:tc>
          <w:tcPr>
            <w:tcW w:w="1236" w:type="dxa"/>
            <w:tcBorders>
              <w:left w:val="single" w:sz="4" w:space="0" w:color="auto"/>
              <w:bottom w:val="nil"/>
            </w:tcBorders>
            <w:noWrap/>
            <w:vAlign w:val="bottom"/>
          </w:tcPr>
          <w:p w:rsidR="007A378A" w:rsidRPr="00A46562" w:rsidRDefault="007A378A" w:rsidP="003F6E45">
            <w:pPr>
              <w:keepNext/>
              <w:rPr>
                <w:rFonts w:cs="Arial"/>
                <w:lang w:eastAsia="en-GB"/>
              </w:rPr>
            </w:pPr>
            <w:r w:rsidRPr="00A46562">
              <w:rPr>
                <w:rFonts w:cs="Arial"/>
                <w:lang w:eastAsia="en-GB"/>
              </w:rPr>
              <w:t>Car</w:t>
            </w:r>
          </w:p>
        </w:tc>
        <w:tc>
          <w:tcPr>
            <w:tcW w:w="1436" w:type="dxa"/>
            <w:tcBorders>
              <w:bottom w:val="nil"/>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1.35</w:t>
            </w:r>
          </w:p>
        </w:tc>
        <w:tc>
          <w:tcPr>
            <w:tcW w:w="1436" w:type="dxa"/>
            <w:tcBorders>
              <w:bottom w:val="nil"/>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1.62</w:t>
            </w:r>
          </w:p>
        </w:tc>
        <w:tc>
          <w:tcPr>
            <w:tcW w:w="1316" w:type="dxa"/>
            <w:tcBorders>
              <w:bottom w:val="nil"/>
              <w:right w:val="single" w:sz="4" w:space="0" w:color="auto"/>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1.71</w:t>
            </w:r>
          </w:p>
        </w:tc>
      </w:tr>
      <w:tr w:rsidR="007A378A" w:rsidRPr="00A46562" w:rsidTr="00B37D17">
        <w:trPr>
          <w:trHeight w:val="255"/>
        </w:trPr>
        <w:tc>
          <w:tcPr>
            <w:tcW w:w="1236" w:type="dxa"/>
            <w:tcBorders>
              <w:top w:val="nil"/>
              <w:left w:val="single" w:sz="4" w:space="0" w:color="auto"/>
              <w:bottom w:val="nil"/>
            </w:tcBorders>
            <w:noWrap/>
            <w:vAlign w:val="bottom"/>
          </w:tcPr>
          <w:p w:rsidR="007A378A" w:rsidRPr="00A46562" w:rsidRDefault="007A378A" w:rsidP="003F6E45">
            <w:pPr>
              <w:keepNext/>
              <w:rPr>
                <w:rFonts w:cs="Arial"/>
                <w:lang w:eastAsia="en-GB"/>
              </w:rPr>
            </w:pPr>
            <w:r w:rsidRPr="00A46562">
              <w:rPr>
                <w:rFonts w:cs="Arial"/>
                <w:lang w:eastAsia="en-GB"/>
              </w:rPr>
              <w:t>2axle</w:t>
            </w:r>
          </w:p>
        </w:tc>
        <w:tc>
          <w:tcPr>
            <w:tcW w:w="1436" w:type="dxa"/>
            <w:tcBorders>
              <w:top w:val="nil"/>
              <w:bottom w:val="nil"/>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1.95</w:t>
            </w:r>
          </w:p>
        </w:tc>
        <w:tc>
          <w:tcPr>
            <w:tcW w:w="1436" w:type="dxa"/>
            <w:tcBorders>
              <w:top w:val="nil"/>
              <w:bottom w:val="nil"/>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2.33</w:t>
            </w:r>
          </w:p>
        </w:tc>
        <w:tc>
          <w:tcPr>
            <w:tcW w:w="1316" w:type="dxa"/>
            <w:tcBorders>
              <w:top w:val="nil"/>
              <w:bottom w:val="nil"/>
              <w:right w:val="single" w:sz="4" w:space="0" w:color="auto"/>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2.67</w:t>
            </w:r>
          </w:p>
        </w:tc>
      </w:tr>
      <w:tr w:rsidR="007A378A" w:rsidRPr="00A46562" w:rsidTr="00B37D17">
        <w:trPr>
          <w:trHeight w:val="255"/>
        </w:trPr>
        <w:tc>
          <w:tcPr>
            <w:tcW w:w="1236" w:type="dxa"/>
            <w:tcBorders>
              <w:top w:val="nil"/>
              <w:left w:val="single" w:sz="4" w:space="0" w:color="auto"/>
            </w:tcBorders>
            <w:noWrap/>
            <w:vAlign w:val="bottom"/>
          </w:tcPr>
          <w:p w:rsidR="007A378A" w:rsidRPr="00A46562" w:rsidRDefault="007A378A" w:rsidP="003F6E45">
            <w:pPr>
              <w:keepNext/>
              <w:rPr>
                <w:rFonts w:cs="Arial"/>
                <w:lang w:eastAsia="en-GB"/>
              </w:rPr>
            </w:pPr>
            <w:r w:rsidRPr="00A46562">
              <w:rPr>
                <w:rFonts w:cs="Arial"/>
                <w:lang w:eastAsia="en-GB"/>
              </w:rPr>
              <w:t>3axle</w:t>
            </w:r>
          </w:p>
        </w:tc>
        <w:tc>
          <w:tcPr>
            <w:tcW w:w="1436" w:type="dxa"/>
            <w:tcBorders>
              <w:top w:val="nil"/>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3.45</w:t>
            </w:r>
          </w:p>
        </w:tc>
        <w:tc>
          <w:tcPr>
            <w:tcW w:w="1436" w:type="dxa"/>
            <w:tcBorders>
              <w:top w:val="nil"/>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4.15</w:t>
            </w:r>
          </w:p>
        </w:tc>
        <w:tc>
          <w:tcPr>
            <w:tcW w:w="1316" w:type="dxa"/>
            <w:tcBorders>
              <w:top w:val="nil"/>
              <w:right w:val="single" w:sz="4" w:space="0" w:color="auto"/>
            </w:tcBorders>
            <w:noWrap/>
            <w:vAlign w:val="bottom"/>
          </w:tcPr>
          <w:p w:rsidR="007A378A" w:rsidRPr="00C56982" w:rsidRDefault="00C56982" w:rsidP="00C56982">
            <w:pPr>
              <w:tabs>
                <w:tab w:val="num" w:pos="1276"/>
              </w:tabs>
              <w:jc w:val="center"/>
              <w:rPr>
                <w:rFonts w:cs="Arial"/>
                <w:color w:val="000000"/>
                <w:lang w:eastAsia="en-GB"/>
              </w:rPr>
            </w:pPr>
            <w:r>
              <w:rPr>
                <w:rFonts w:cs="Arial"/>
                <w:color w:val="000000"/>
                <w:lang w:eastAsia="en-GB"/>
              </w:rPr>
              <w:t>£</w:t>
            </w:r>
            <w:r w:rsidR="007A378A" w:rsidRPr="00C56982">
              <w:rPr>
                <w:rFonts w:cs="Arial"/>
                <w:color w:val="000000"/>
                <w:lang w:eastAsia="en-GB"/>
              </w:rPr>
              <w:t>4.77</w:t>
            </w:r>
          </w:p>
        </w:tc>
      </w:tr>
    </w:tbl>
    <w:p w:rsidR="007A378A" w:rsidRDefault="007A378A" w:rsidP="0039632B">
      <w:pPr>
        <w:spacing w:after="120"/>
      </w:pPr>
    </w:p>
    <w:p w:rsidR="007A378A" w:rsidRDefault="007A378A" w:rsidP="0039632B">
      <w:pPr>
        <w:pStyle w:val="Body"/>
      </w:pPr>
    </w:p>
    <w:p w:rsidR="007A378A" w:rsidRPr="001279C6" w:rsidRDefault="007A378A" w:rsidP="006B469F">
      <w:pPr>
        <w:pStyle w:val="Body"/>
        <w:rPr>
          <w:sz w:val="20"/>
          <w:szCs w:val="20"/>
        </w:rPr>
      </w:pPr>
    </w:p>
    <w:sectPr w:rsidR="007A378A" w:rsidRPr="001279C6" w:rsidSect="00BC2ACE">
      <w:footerReference w:type="default" r:id="rId32"/>
      <w:pgSz w:w="11907" w:h="16839" w:code="9"/>
      <w:pgMar w:top="-2268" w:right="709" w:bottom="1729" w:left="907" w:header="357" w:footer="567" w:gutter="0"/>
      <w:cols w:space="1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3CD" w:rsidRDefault="00F313CD">
      <w:r>
        <w:separator/>
      </w:r>
    </w:p>
  </w:endnote>
  <w:endnote w:type="continuationSeparator" w:id="0">
    <w:p w:rsidR="00F313CD" w:rsidRDefault="00F31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Footer"/>
      <w:spacing w:line="240"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Footer"/>
      <w:spacing w:line="24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Footer"/>
      <w:rPr>
        <w:sz w:val="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Footer"/>
      <w:rPr>
        <w:sz w:val="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Footer"/>
      <w:rPr>
        <w:sz w:val="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rPr>
        <w:sz w:val="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Footer"/>
      <w:rPr>
        <w:sz w:val="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EA01C7">
    <w:pPr>
      <w:pStyle w:val="Footer"/>
      <w:jc w:val="center"/>
    </w:pPr>
    <w:fldSimple w:instr=" PAGE   \* MERGEFORMAT ">
      <w:r w:rsidR="008110D9">
        <w:rPr>
          <w:noProof/>
        </w:rPr>
        <w:t>15</w:t>
      </w:r>
    </w:fldSimple>
  </w:p>
  <w:p w:rsidR="00F313CD" w:rsidRDefault="00EA01C7">
    <w:pPr>
      <w:pStyle w:val="Footer"/>
    </w:pPr>
    <w:fldSimple w:instr=" FILENAME   \* MERGEFORMAT ">
      <w:r w:rsidR="00F313CD">
        <w:rPr>
          <w:noProof/>
        </w:rPr>
        <w:t>121012 first draft Output 3 OM costs plus revenues - DFT  HA comments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3CD" w:rsidRDefault="00F313CD">
      <w:r>
        <w:separator/>
      </w:r>
    </w:p>
  </w:footnote>
  <w:footnote w:type="continuationSeparator" w:id="0">
    <w:p w:rsidR="00F313CD" w:rsidRDefault="00F313CD">
      <w:r>
        <w:continuationSeparator/>
      </w:r>
    </w:p>
  </w:footnote>
  <w:footnote w:id="1">
    <w:p w:rsidR="00F313CD" w:rsidRDefault="00F313CD">
      <w:pPr>
        <w:pStyle w:val="FootnoteText"/>
      </w:pPr>
      <w:r>
        <w:rPr>
          <w:rStyle w:val="FootnoteReference"/>
        </w:rPr>
        <w:footnoteRef/>
      </w:r>
      <w:r>
        <w:t xml:space="preserve"> </w:t>
      </w:r>
      <w:r w:rsidRPr="00EF3296">
        <w:rPr>
          <w:sz w:val="16"/>
        </w:rPr>
        <w:t xml:space="preserve">By way of comparison TfL’s London Congestion Charge scheme employs about 350 call centre staff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91" w:type="dxa"/>
      <w:tblLayout w:type="fixed"/>
      <w:tblCellMar>
        <w:left w:w="0" w:type="dxa"/>
        <w:right w:w="0" w:type="dxa"/>
      </w:tblCellMar>
      <w:tblLook w:val="01E0"/>
    </w:tblPr>
    <w:tblGrid>
      <w:gridCol w:w="2155"/>
      <w:gridCol w:w="2937"/>
      <w:gridCol w:w="170"/>
      <w:gridCol w:w="3328"/>
      <w:gridCol w:w="170"/>
      <w:gridCol w:w="1531"/>
    </w:tblGrid>
    <w:tr w:rsidR="00F313CD" w:rsidRPr="00A876ED" w:rsidTr="00A876ED">
      <w:tc>
        <w:tcPr>
          <w:tcW w:w="2155" w:type="dxa"/>
        </w:tcPr>
        <w:p w:rsidR="00F313CD" w:rsidRPr="00A876ED" w:rsidRDefault="00F313CD">
          <w:pPr>
            <w:pStyle w:val="Header"/>
            <w:rPr>
              <w:szCs w:val="16"/>
            </w:rPr>
          </w:pPr>
        </w:p>
      </w:tc>
      <w:tc>
        <w:tcPr>
          <w:tcW w:w="2937" w:type="dxa"/>
        </w:tcPr>
        <w:p w:rsidR="00F313CD" w:rsidRPr="00A876ED" w:rsidRDefault="00F313CD">
          <w:pPr>
            <w:pStyle w:val="Header"/>
            <w:rPr>
              <w:b/>
              <w:sz w:val="24"/>
              <w:szCs w:val="24"/>
            </w:rPr>
          </w:pPr>
          <w:bookmarkStart w:id="1" w:name="Capability"/>
          <w:r w:rsidRPr="00A876ED">
            <w:rPr>
              <w:b/>
              <w:sz w:val="24"/>
              <w:szCs w:val="24"/>
            </w:rPr>
            <w:t>Transportation</w:t>
          </w:r>
          <w:bookmarkEnd w:id="1"/>
        </w:p>
        <w:p w:rsidR="00F313CD" w:rsidRPr="00A876ED" w:rsidRDefault="00F313CD">
          <w:pPr>
            <w:pStyle w:val="Header"/>
            <w:rPr>
              <w:b/>
              <w:sz w:val="24"/>
              <w:szCs w:val="24"/>
            </w:rPr>
          </w:pPr>
        </w:p>
      </w:tc>
      <w:tc>
        <w:tcPr>
          <w:tcW w:w="170" w:type="dxa"/>
        </w:tcPr>
        <w:p w:rsidR="00F313CD" w:rsidRPr="00A876ED" w:rsidRDefault="00F313CD">
          <w:pPr>
            <w:pStyle w:val="Header"/>
            <w:rPr>
              <w:szCs w:val="16"/>
            </w:rPr>
          </w:pPr>
        </w:p>
      </w:tc>
      <w:tc>
        <w:tcPr>
          <w:tcW w:w="3328" w:type="dxa"/>
        </w:tcPr>
        <w:p w:rsidR="00F313CD" w:rsidRPr="00A876ED" w:rsidRDefault="00F313CD" w:rsidP="00572269">
          <w:pPr>
            <w:pStyle w:val="Header"/>
            <w:rPr>
              <w:sz w:val="18"/>
              <w:szCs w:val="18"/>
            </w:rPr>
          </w:pPr>
          <w:bookmarkStart w:id="2" w:name="ClientName"/>
          <w:bookmarkEnd w:id="2"/>
          <w:r w:rsidRPr="00A876ED">
            <w:rPr>
              <w:sz w:val="18"/>
              <w:szCs w:val="18"/>
            </w:rPr>
            <w:t xml:space="preserve">Department </w:t>
          </w:r>
          <w:r>
            <w:rPr>
              <w:sz w:val="18"/>
              <w:szCs w:val="18"/>
            </w:rPr>
            <w:t>for</w:t>
          </w:r>
          <w:r w:rsidRPr="00A876ED">
            <w:rPr>
              <w:sz w:val="18"/>
              <w:szCs w:val="18"/>
            </w:rPr>
            <w:t xml:space="preserve"> Transport</w:t>
          </w:r>
        </w:p>
      </w:tc>
      <w:tc>
        <w:tcPr>
          <w:tcW w:w="170" w:type="dxa"/>
        </w:tcPr>
        <w:p w:rsidR="00F313CD" w:rsidRPr="00A876ED" w:rsidRDefault="00F313CD">
          <w:pPr>
            <w:pStyle w:val="Header"/>
            <w:rPr>
              <w:szCs w:val="16"/>
            </w:rPr>
          </w:pPr>
        </w:p>
      </w:tc>
      <w:tc>
        <w:tcPr>
          <w:tcW w:w="1531" w:type="dxa"/>
        </w:tcPr>
        <w:p w:rsidR="00F313CD" w:rsidRPr="00A876ED" w:rsidRDefault="00F313CD" w:rsidP="00F469C6">
          <w:pPr>
            <w:pStyle w:val="Header"/>
            <w:rPr>
              <w:sz w:val="18"/>
              <w:szCs w:val="18"/>
            </w:rPr>
          </w:pPr>
          <w:bookmarkStart w:id="3" w:name="DateCreated"/>
          <w:bookmarkEnd w:id="3"/>
          <w:r>
            <w:rPr>
              <w:sz w:val="18"/>
              <w:szCs w:val="18"/>
            </w:rPr>
            <w:t>October</w:t>
          </w:r>
          <w:r w:rsidRPr="00A876ED">
            <w:rPr>
              <w:sz w:val="18"/>
              <w:szCs w:val="18"/>
            </w:rPr>
            <w:t xml:space="preserve"> 2012</w:t>
          </w:r>
        </w:p>
      </w:tc>
    </w:tr>
  </w:tbl>
  <w:p w:rsidR="00F313CD" w:rsidRPr="005C4DB7" w:rsidRDefault="00F313CD">
    <w:pPr>
      <w:pStyle w:val="Header"/>
    </w:pPr>
    <w:r>
      <w:rPr>
        <w:noProof/>
        <w:lang w:val="en-US"/>
      </w:rPr>
      <w:drawing>
        <wp:anchor distT="0" distB="0" distL="114300" distR="114300" simplePos="0" relativeHeight="251657728" behindDoc="1" locked="1" layoutInCell="1" allowOverlap="1">
          <wp:simplePos x="0" y="0"/>
          <wp:positionH relativeFrom="page">
            <wp:posOffset>-3810</wp:posOffset>
          </wp:positionH>
          <wp:positionV relativeFrom="page">
            <wp:posOffset>0</wp:posOffset>
          </wp:positionV>
          <wp:extent cx="1682115" cy="1099820"/>
          <wp:effectExtent l="19050" t="0" r="0" b="0"/>
          <wp:wrapNone/>
          <wp:docPr id="1" name="Picture 24" descr="AECOM_logo_OnDeman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ECOM_logo_OnDemand_Template"/>
                  <pic:cNvPicPr>
                    <a:picLocks noChangeAspect="1" noChangeArrowheads="1"/>
                  </pic:cNvPicPr>
                </pic:nvPicPr>
                <pic:blipFill>
                  <a:blip r:embed="rId1"/>
                  <a:srcRect/>
                  <a:stretch>
                    <a:fillRect/>
                  </a:stretch>
                </pic:blipFill>
                <pic:spPr bwMode="auto">
                  <a:xfrm>
                    <a:off x="0" y="0"/>
                    <a:ext cx="1682115" cy="1099820"/>
                  </a:xfrm>
                  <a:prstGeom prst="rect">
                    <a:avLst/>
                  </a:prstGeom>
                  <a:noFill/>
                </pic:spPr>
              </pic:pic>
            </a:graphicData>
          </a:graphic>
        </wp:anchor>
      </w:drawing>
    </w:r>
  </w:p>
  <w:p w:rsidR="00F313CD" w:rsidRPr="005C4DB7" w:rsidRDefault="00F313CD">
    <w:pPr>
      <w:pStyle w:val="Header"/>
      <w:rPr>
        <w:vanish/>
      </w:rPr>
    </w:pPr>
  </w:p>
  <w:p w:rsidR="00F313CD" w:rsidRPr="008F04A3" w:rsidRDefault="00F313CD">
    <w:pPr>
      <w:pStyle w:val="Header"/>
      <w:rPr>
        <w:szCs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rPr>
        <w:vanish/>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rStyle w:val="PageNumber"/>
      </w:rPr>
    </w:pPr>
    <w:r w:rsidRPr="004E1903">
      <w:rPr>
        <w:bCs/>
      </w:rPr>
      <w:t>ECOM</w:t>
    </w:r>
    <w:r>
      <w:rPr>
        <w:b/>
        <w:bCs/>
      </w:rPr>
      <w:tab/>
    </w:r>
    <w:fldSimple w:instr=" STYLEREF DocTitle \* MERGEFORMAT ">
      <w:r w:rsidR="008110D9" w:rsidRPr="008110D9">
        <w:rPr>
          <w:b/>
          <w:bCs/>
          <w:noProof/>
          <w:lang w:val="en-US"/>
        </w:rPr>
        <w:t>Review</w:t>
      </w:r>
      <w:r w:rsidR="008110D9" w:rsidRPr="008110D9">
        <w:rPr>
          <w:b/>
          <w:noProof/>
        </w:rPr>
        <w:t xml:space="preserve"> of Lower Thames Crossing Capacity Options</w:t>
      </w:r>
    </w:fldSimple>
    <w:r>
      <w:tab/>
    </w:r>
    <w:r w:rsidR="00EA01C7">
      <w:rPr>
        <w:rStyle w:val="PageNumber"/>
      </w:rPr>
      <w:fldChar w:fldCharType="begin"/>
    </w:r>
    <w:r>
      <w:rPr>
        <w:rStyle w:val="PageNumber"/>
      </w:rPr>
      <w:instrText xml:space="preserve"> PAGE </w:instrText>
    </w:r>
    <w:r w:rsidR="00EA01C7">
      <w:rPr>
        <w:rStyle w:val="PageNumber"/>
      </w:rPr>
      <w:fldChar w:fldCharType="separate"/>
    </w:r>
    <w:r w:rsidR="008110D9">
      <w:rPr>
        <w:rStyle w:val="PageNumber"/>
        <w:noProof/>
      </w:rPr>
      <w:t>12</w:t>
    </w:r>
    <w:r w:rsidR="00EA01C7">
      <w:rPr>
        <w:rStyle w:val="PageNumber"/>
      </w:rPr>
      <w:fldChar w:fldCharType="end"/>
    </w:r>
  </w:p>
  <w:p w:rsidR="00F313CD" w:rsidRDefault="00F313CD">
    <w:pPr>
      <w:pStyle w:val="Header"/>
    </w:pPr>
  </w:p>
  <w:p w:rsidR="00F313CD" w:rsidRDefault="00F313CD">
    <w:pPr>
      <w:pStyle w:val="Header"/>
    </w:pPr>
    <w:r>
      <w:t>Capabilities on project:</w:t>
    </w:r>
  </w:p>
  <w:p w:rsidR="00F313CD" w:rsidRPr="00C56982" w:rsidRDefault="00EA01C7">
    <w:pPr>
      <w:pStyle w:val="Header"/>
    </w:pPr>
    <w:fldSimple w:instr=" REF  Capability  \* MERGEFORMAT ">
      <w:r w:rsidR="00F313CD" w:rsidRPr="00C56982">
        <w:t>Transportation</w:t>
      </w:r>
    </w:fldSimple>
  </w:p>
  <w:p w:rsidR="00F313CD" w:rsidRPr="00C56982" w:rsidRDefault="00F313CD">
    <w:pPr>
      <w:rPr>
        <w:vanish/>
        <w:sz w:val="1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vanis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vanish/>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b/>
      </w:rPr>
    </w:pPr>
    <w:r w:rsidRPr="004E1903">
      <w:rPr>
        <w:bCs/>
      </w:rPr>
      <w:t>AECOM</w:t>
    </w:r>
    <w:r>
      <w:rPr>
        <w:b/>
        <w:bCs/>
      </w:rPr>
      <w:tab/>
    </w:r>
    <w:fldSimple w:instr=" STYLEREF DocTitle \* MERGEFORMAT ">
      <w:r w:rsidR="008110D9" w:rsidRPr="008110D9">
        <w:rPr>
          <w:b/>
          <w:bCs/>
          <w:noProof/>
          <w:lang w:val="en-US"/>
        </w:rPr>
        <w:t>Review</w:t>
      </w:r>
      <w:r w:rsidR="008110D9" w:rsidRPr="008110D9">
        <w:rPr>
          <w:b/>
          <w:noProof/>
        </w:rPr>
        <w:t xml:space="preserve"> of Lower Thames Crossing Capacity Options</w:t>
      </w:r>
    </w:fldSimple>
  </w:p>
  <w:p w:rsidR="00F313CD" w:rsidRDefault="00F313CD">
    <w:pPr>
      <w:pStyle w:val="Header"/>
      <w:rPr>
        <w:rStyle w:val="PageNumber"/>
      </w:rPr>
    </w:pPr>
    <w:r>
      <w:rPr>
        <w:b/>
      </w:rPr>
      <w:tab/>
      <w:t>Report on Design and Costs</w:t>
    </w:r>
    <w:r>
      <w:tab/>
    </w:r>
    <w:r w:rsidR="00EA01C7">
      <w:rPr>
        <w:rStyle w:val="PageNumber"/>
      </w:rPr>
      <w:fldChar w:fldCharType="begin"/>
    </w:r>
    <w:r>
      <w:rPr>
        <w:rStyle w:val="PageNumber"/>
      </w:rPr>
      <w:instrText xml:space="preserve"> PAGE </w:instrText>
    </w:r>
    <w:r w:rsidR="00EA01C7">
      <w:rPr>
        <w:rStyle w:val="PageNumber"/>
      </w:rPr>
      <w:fldChar w:fldCharType="separate"/>
    </w:r>
    <w:r w:rsidR="008110D9">
      <w:rPr>
        <w:rStyle w:val="PageNumber"/>
        <w:noProof/>
      </w:rPr>
      <w:t>2</w:t>
    </w:r>
    <w:r w:rsidR="00EA01C7">
      <w:rPr>
        <w:rStyle w:val="PageNumber"/>
      </w:rPr>
      <w:fldChar w:fldCharType="end"/>
    </w:r>
  </w:p>
  <w:p w:rsidR="00F313CD" w:rsidRDefault="00F313CD">
    <w:pPr>
      <w:pStyle w:val="Header"/>
    </w:pPr>
  </w:p>
  <w:p w:rsidR="00F313CD" w:rsidRPr="00F96876" w:rsidRDefault="00F313C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vanish/>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rStyle w:val="PageNumber"/>
      </w:rPr>
    </w:pPr>
    <w:r w:rsidRPr="004E1903">
      <w:rPr>
        <w:bCs/>
      </w:rPr>
      <w:t>AECOM</w:t>
    </w:r>
    <w:r>
      <w:rPr>
        <w:b/>
        <w:bCs/>
      </w:rPr>
      <w:tab/>
    </w:r>
    <w:fldSimple w:instr=" STYLEREF DocTitle \* MERGEFORMAT ">
      <w:r w:rsidR="008110D9" w:rsidRPr="008110D9">
        <w:rPr>
          <w:b/>
          <w:bCs/>
          <w:noProof/>
          <w:lang w:val="en-US"/>
        </w:rPr>
        <w:t>Review</w:t>
      </w:r>
      <w:r w:rsidR="008110D9" w:rsidRPr="008110D9">
        <w:rPr>
          <w:b/>
          <w:noProof/>
        </w:rPr>
        <w:t xml:space="preserve"> of Lower Thames Crossing Capacity Options</w:t>
      </w:r>
    </w:fldSimple>
    <w:r>
      <w:tab/>
    </w:r>
    <w:r w:rsidR="00EA01C7">
      <w:rPr>
        <w:rStyle w:val="PageNumber"/>
      </w:rPr>
      <w:fldChar w:fldCharType="begin"/>
    </w:r>
    <w:r>
      <w:rPr>
        <w:rStyle w:val="PageNumber"/>
      </w:rPr>
      <w:instrText xml:space="preserve"> PAGE </w:instrText>
    </w:r>
    <w:r w:rsidR="00EA01C7">
      <w:rPr>
        <w:rStyle w:val="PageNumber"/>
      </w:rPr>
      <w:fldChar w:fldCharType="separate"/>
    </w:r>
    <w:r w:rsidR="008110D9">
      <w:rPr>
        <w:rStyle w:val="PageNumber"/>
        <w:noProof/>
      </w:rPr>
      <w:t>6</w:t>
    </w:r>
    <w:r w:rsidR="00EA01C7">
      <w:rPr>
        <w:rStyle w:val="PageNumber"/>
      </w:rPr>
      <w:fldChar w:fldCharType="end"/>
    </w:r>
  </w:p>
  <w:p w:rsidR="00F313CD" w:rsidRDefault="00F313CD">
    <w:pPr>
      <w:pStyle w:val="Header"/>
    </w:pPr>
  </w:p>
  <w:p w:rsidR="00F313CD" w:rsidRDefault="00F313CD">
    <w:pPr>
      <w:pStyle w:val="Header"/>
    </w:pPr>
    <w:r>
      <w:t>Capabilities on project:</w:t>
    </w:r>
  </w:p>
  <w:p w:rsidR="00F313CD" w:rsidRPr="00F96876" w:rsidRDefault="00EA01C7">
    <w:pPr>
      <w:pStyle w:val="Header"/>
    </w:pPr>
    <w:fldSimple w:instr=" REF  Capability  \* MERGEFORMAT ">
      <w:r w:rsidR="00F313CD" w:rsidRPr="00EF3296">
        <w:t>Transportation</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vanish/>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3CD" w:rsidRDefault="00F313CD">
    <w:pPr>
      <w:pStyle w:val="Header"/>
      <w:rPr>
        <w:rStyle w:val="PageNumber"/>
      </w:rPr>
    </w:pPr>
    <w:r w:rsidRPr="004E1903">
      <w:rPr>
        <w:bCs/>
      </w:rPr>
      <w:t>AECOM</w:t>
    </w:r>
    <w:r>
      <w:rPr>
        <w:b/>
        <w:bCs/>
      </w:rPr>
      <w:tab/>
    </w:r>
    <w:fldSimple w:instr=" STYLEREF DocTitle \* MERGEFORMAT ">
      <w:r w:rsidR="008110D9" w:rsidRPr="008110D9">
        <w:rPr>
          <w:b/>
          <w:bCs/>
          <w:noProof/>
          <w:lang w:val="en-US"/>
        </w:rPr>
        <w:t>Review</w:t>
      </w:r>
      <w:r w:rsidR="008110D9" w:rsidRPr="008110D9">
        <w:rPr>
          <w:b/>
          <w:noProof/>
        </w:rPr>
        <w:t xml:space="preserve"> of Lower Thames Crossing Capacity Options</w:t>
      </w:r>
    </w:fldSimple>
    <w:r>
      <w:tab/>
    </w:r>
    <w:r w:rsidR="00EA01C7">
      <w:rPr>
        <w:rStyle w:val="PageNumber"/>
      </w:rPr>
      <w:fldChar w:fldCharType="begin"/>
    </w:r>
    <w:r>
      <w:rPr>
        <w:rStyle w:val="PageNumber"/>
      </w:rPr>
      <w:instrText xml:space="preserve"> PAGE </w:instrText>
    </w:r>
    <w:r w:rsidR="00EA01C7">
      <w:rPr>
        <w:rStyle w:val="PageNumber"/>
      </w:rPr>
      <w:fldChar w:fldCharType="separate"/>
    </w:r>
    <w:r w:rsidR="008110D9">
      <w:rPr>
        <w:rStyle w:val="PageNumber"/>
        <w:noProof/>
      </w:rPr>
      <w:t>10</w:t>
    </w:r>
    <w:r w:rsidR="00EA01C7">
      <w:rPr>
        <w:rStyle w:val="PageNumber"/>
      </w:rPr>
      <w:fldChar w:fldCharType="end"/>
    </w:r>
  </w:p>
  <w:p w:rsidR="00F313CD" w:rsidRDefault="00F313CD">
    <w:pPr>
      <w:pStyle w:val="Header"/>
    </w:pPr>
  </w:p>
  <w:p w:rsidR="00F313CD" w:rsidRDefault="00F313CD">
    <w:pPr>
      <w:pStyle w:val="Header"/>
    </w:pPr>
    <w:r>
      <w:t>Capabilities on project:</w:t>
    </w:r>
  </w:p>
  <w:p w:rsidR="00F313CD" w:rsidRPr="00F96876" w:rsidRDefault="00EA01C7">
    <w:pPr>
      <w:pStyle w:val="Header"/>
    </w:pPr>
    <w:fldSimple w:instr=" REF  Capability  \* MERGEFORMAT ">
      <w:r w:rsidR="00F313CD" w:rsidRPr="00EF3296">
        <w:t>Transportation</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637E3ED2"/>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EBF23356"/>
    <w:lvl w:ilvl="0">
      <w:start w:val="1"/>
      <w:numFmt w:val="bullet"/>
      <w:pStyle w:val="Para4"/>
      <w:lvlText w:val=""/>
      <w:lvlJc w:val="left"/>
      <w:pPr>
        <w:tabs>
          <w:tab w:val="num" w:pos="643"/>
        </w:tabs>
        <w:ind w:left="643" w:hanging="360"/>
      </w:pPr>
      <w:rPr>
        <w:rFonts w:ascii="Symbol" w:hAnsi="Symbol" w:hint="default"/>
      </w:rPr>
    </w:lvl>
  </w:abstractNum>
  <w:abstractNum w:abstractNumId="2">
    <w:nsid w:val="0273218B"/>
    <w:multiLevelType w:val="multilevel"/>
    <w:tmpl w:val="324E45E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lowerRoman"/>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
    <w:nsid w:val="0AB97ED4"/>
    <w:multiLevelType w:val="multilevel"/>
    <w:tmpl w:val="9D38DBAE"/>
    <w:lvl w:ilvl="0">
      <w:start w:val="1"/>
      <w:numFmt w:val="decimal"/>
      <w:pStyle w:val="SecDivider"/>
      <w:lvlText w:val="%1"/>
      <w:lvlJc w:val="left"/>
      <w:pPr>
        <w:tabs>
          <w:tab w:val="num" w:pos="567"/>
        </w:tabs>
        <w:ind w:left="567" w:hanging="567"/>
      </w:pPr>
      <w:rPr>
        <w:rFonts w:cs="Times New Roman"/>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0E8406F8"/>
    <w:multiLevelType w:val="hybridMultilevel"/>
    <w:tmpl w:val="31585F3A"/>
    <w:lvl w:ilvl="0" w:tplc="D870D678">
      <w:start w:val="1"/>
      <w:numFmt w:val="bullet"/>
      <w:lvlText w:val=""/>
      <w:lvlJc w:val="left"/>
      <w:pPr>
        <w:ind w:left="360" w:hanging="360"/>
      </w:pPr>
      <w:rPr>
        <w:rFonts w:ascii="Symbol" w:hAnsi="Symbol" w:hint="default"/>
        <w:sz w:val="16"/>
      </w:rPr>
    </w:lvl>
    <w:lvl w:ilvl="1" w:tplc="F3D61142">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865A1B"/>
    <w:multiLevelType w:val="multilevel"/>
    <w:tmpl w:val="8BDAC128"/>
    <w:lvl w:ilvl="0">
      <w:start w:val="1"/>
      <w:numFmt w:val="decimal"/>
      <w:pStyle w:val="ListBullet2"/>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1.%2.%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6">
    <w:nsid w:val="11692E97"/>
    <w:multiLevelType w:val="hybridMultilevel"/>
    <w:tmpl w:val="0B56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805B4"/>
    <w:multiLevelType w:val="hybridMultilevel"/>
    <w:tmpl w:val="193EE60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F3395"/>
    <w:multiLevelType w:val="hybridMultilevel"/>
    <w:tmpl w:val="50A67402"/>
    <w:lvl w:ilvl="0" w:tplc="287EF6D8">
      <w:start w:val="1"/>
      <w:numFmt w:val="bullet"/>
      <w:pStyle w:val="BulletLevel2"/>
      <w:lvlText w:val="-"/>
      <w:lvlJc w:val="left"/>
      <w:pPr>
        <w:tabs>
          <w:tab w:val="num" w:pos="454"/>
        </w:tabs>
        <w:ind w:left="454" w:hanging="22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7859BB"/>
    <w:multiLevelType w:val="hybridMultilevel"/>
    <w:tmpl w:val="C9AA3DF0"/>
    <w:lvl w:ilvl="0" w:tplc="08090001">
      <w:start w:val="1"/>
      <w:numFmt w:val="bullet"/>
      <w:lvlText w:val=""/>
      <w:lvlJc w:val="left"/>
      <w:pPr>
        <w:ind w:left="360" w:hanging="360"/>
      </w:pPr>
      <w:rPr>
        <w:rFonts w:ascii="Symbol" w:hAnsi="Symbol" w:hint="default"/>
      </w:rPr>
    </w:lvl>
    <w:lvl w:ilvl="1" w:tplc="F3D61142">
      <w:numFmt w:val="bullet"/>
      <w:lvlText w:val="-"/>
      <w:lvlJc w:val="left"/>
      <w:pPr>
        <w:ind w:left="1080" w:hanging="360"/>
      </w:pPr>
      <w:rPr>
        <w:rFonts w:ascii="Arial" w:eastAsia="Times New Roman"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8317B8"/>
    <w:multiLevelType w:val="hybridMultilevel"/>
    <w:tmpl w:val="A766738A"/>
    <w:lvl w:ilvl="0" w:tplc="7E60B5C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87A7DD5"/>
    <w:multiLevelType w:val="multilevel"/>
    <w:tmpl w:val="1AEE8D5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8CE30B5"/>
    <w:multiLevelType w:val="hybridMultilevel"/>
    <w:tmpl w:val="188652AA"/>
    <w:lvl w:ilvl="0" w:tplc="B05A1DD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19265E0"/>
    <w:multiLevelType w:val="hybridMultilevel"/>
    <w:tmpl w:val="415C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60388"/>
    <w:multiLevelType w:val="multilevel"/>
    <w:tmpl w:val="DBDE7B6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lowerRoman"/>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4A167250"/>
    <w:multiLevelType w:val="multilevel"/>
    <w:tmpl w:val="71C8828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nsid w:val="50522563"/>
    <w:multiLevelType w:val="hybridMultilevel"/>
    <w:tmpl w:val="1D0E2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2C765E"/>
    <w:multiLevelType w:val="multilevel"/>
    <w:tmpl w:val="ECBC90F6"/>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nsid w:val="5CBB2985"/>
    <w:multiLevelType w:val="multilevel"/>
    <w:tmpl w:val="0682008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lowerRoman"/>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5DD33B30"/>
    <w:multiLevelType w:val="multilevel"/>
    <w:tmpl w:val="E2542E02"/>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bullet"/>
      <w:lvlText w:val=""/>
      <w:lvlJc w:val="left"/>
      <w:pPr>
        <w:tabs>
          <w:tab w:val="num" w:pos="1440"/>
        </w:tabs>
        <w:ind w:left="680" w:hanging="680"/>
      </w:pPr>
      <w:rPr>
        <w:rFonts w:ascii="Symbol" w:hAnsi="Symbol"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nsid w:val="5DFC4708"/>
    <w:multiLevelType w:val="multilevel"/>
    <w:tmpl w:val="8D3C9AD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5FF50EFC"/>
    <w:multiLevelType w:val="multilevel"/>
    <w:tmpl w:val="827C46C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bullet"/>
      <w:lvlText w:val=""/>
      <w:lvlJc w:val="left"/>
      <w:pPr>
        <w:tabs>
          <w:tab w:val="num" w:pos="1440"/>
        </w:tabs>
        <w:ind w:left="680" w:hanging="680"/>
      </w:pPr>
      <w:rPr>
        <w:rFonts w:ascii="Symbol" w:hAnsi="Symbol" w:hint="default"/>
        <w:b w:val="0"/>
        <w:i w:val="0"/>
        <w:sz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62522D56"/>
    <w:multiLevelType w:val="multilevel"/>
    <w:tmpl w:val="703891B8"/>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63F45258"/>
    <w:multiLevelType w:val="multilevel"/>
    <w:tmpl w:val="39549A94"/>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nsid w:val="69D00B56"/>
    <w:multiLevelType w:val="hybridMultilevel"/>
    <w:tmpl w:val="0F0C8FE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nsid w:val="6A2E32D6"/>
    <w:multiLevelType w:val="multilevel"/>
    <w:tmpl w:val="23FABAD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6B973FE5"/>
    <w:multiLevelType w:val="hybridMultilevel"/>
    <w:tmpl w:val="B778F02C"/>
    <w:lvl w:ilvl="0" w:tplc="08090001">
      <w:start w:val="1"/>
      <w:numFmt w:val="bullet"/>
      <w:lvlText w:val=""/>
      <w:lvlJc w:val="left"/>
      <w:pPr>
        <w:ind w:left="1608" w:hanging="360"/>
      </w:pPr>
      <w:rPr>
        <w:rFonts w:ascii="Symbol" w:hAnsi="Symbol" w:hint="default"/>
      </w:rPr>
    </w:lvl>
    <w:lvl w:ilvl="1" w:tplc="08090003">
      <w:start w:val="1"/>
      <w:numFmt w:val="bullet"/>
      <w:lvlText w:val="o"/>
      <w:lvlJc w:val="left"/>
      <w:pPr>
        <w:ind w:left="2328" w:hanging="360"/>
      </w:pPr>
      <w:rPr>
        <w:rFonts w:ascii="Courier New" w:hAnsi="Courier New" w:hint="default"/>
      </w:rPr>
    </w:lvl>
    <w:lvl w:ilvl="2" w:tplc="08090005">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27">
    <w:nsid w:val="6EA45598"/>
    <w:multiLevelType w:val="multilevel"/>
    <w:tmpl w:val="93BE582A"/>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decimal"/>
      <w:lvlText w:val="%3."/>
      <w:lvlJc w:val="left"/>
      <w:pPr>
        <w:tabs>
          <w:tab w:val="num" w:pos="1440"/>
        </w:tabs>
        <w:ind w:left="680" w:hanging="680"/>
      </w:pPr>
      <w:rPr>
        <w:rFonts w:cs="Times New Roman" w:hint="default"/>
        <w:b w:val="0"/>
        <w:i w:val="0"/>
        <w:sz w:val="20"/>
        <w:szCs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8">
    <w:nsid w:val="6FEF0180"/>
    <w:multiLevelType w:val="hybridMultilevel"/>
    <w:tmpl w:val="CDC6C150"/>
    <w:lvl w:ilvl="0" w:tplc="A8EE4162">
      <w:start w:val="1"/>
      <w:numFmt w:val="bullet"/>
      <w:pStyle w:val="BulletLevel1"/>
      <w:lvlText w:val="-"/>
      <w:lvlJc w:val="left"/>
      <w:pPr>
        <w:tabs>
          <w:tab w:val="num" w:pos="227"/>
        </w:tabs>
        <w:ind w:left="227" w:hanging="227"/>
      </w:pPr>
      <w:rPr>
        <w:rFonts w:ascii="Arial" w:hAnsi="Aria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9A6F26"/>
    <w:multiLevelType w:val="multilevel"/>
    <w:tmpl w:val="827C46C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720"/>
        </w:tabs>
        <w:ind w:left="680" w:hanging="680"/>
      </w:pPr>
      <w:rPr>
        <w:rFonts w:cs="Times New Roman" w:hint="default"/>
      </w:rPr>
    </w:lvl>
    <w:lvl w:ilvl="2">
      <w:start w:val="1"/>
      <w:numFmt w:val="bullet"/>
      <w:lvlText w:val=""/>
      <w:lvlJc w:val="left"/>
      <w:pPr>
        <w:tabs>
          <w:tab w:val="num" w:pos="1440"/>
        </w:tabs>
        <w:ind w:left="680" w:hanging="680"/>
      </w:pPr>
      <w:rPr>
        <w:rFonts w:ascii="Symbol" w:hAnsi="Symbol" w:hint="default"/>
        <w:b w:val="0"/>
        <w:i w:val="0"/>
        <w:sz w:val="20"/>
      </w:rPr>
    </w:lvl>
    <w:lvl w:ilvl="3">
      <w:start w:val="1"/>
      <w:numFmt w:val="decimal"/>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3"/>
  </w:num>
  <w:num w:numId="10">
    <w:abstractNumId w:val="5"/>
  </w:num>
  <w:num w:numId="11">
    <w:abstractNumId w:val="28"/>
  </w:num>
  <w:num w:numId="12">
    <w:abstractNumId w:val="8"/>
  </w:num>
  <w:num w:numId="13">
    <w:abstractNumId w:val="26"/>
  </w:num>
  <w:num w:numId="14">
    <w:abstractNumId w:val="0"/>
  </w:num>
  <w:num w:numId="15">
    <w:abstractNumId w:val="16"/>
  </w:num>
  <w:num w:numId="16">
    <w:abstractNumId w:val="1"/>
  </w:num>
  <w:num w:numId="17">
    <w:abstractNumId w:val="7"/>
  </w:num>
  <w:num w:numId="18">
    <w:abstractNumId w:val="2"/>
  </w:num>
  <w:num w:numId="19">
    <w:abstractNumId w:val="18"/>
  </w:num>
  <w:num w:numId="20">
    <w:abstractNumId w:val="20"/>
  </w:num>
  <w:num w:numId="21">
    <w:abstractNumId w:val="22"/>
  </w:num>
  <w:num w:numId="22">
    <w:abstractNumId w:val="14"/>
  </w:num>
  <w:num w:numId="23">
    <w:abstractNumId w:val="25"/>
  </w:num>
  <w:num w:numId="24">
    <w:abstractNumId w:val="17"/>
  </w:num>
  <w:num w:numId="25">
    <w:abstractNumId w:val="23"/>
  </w:num>
  <w:num w:numId="26">
    <w:abstractNumId w:val="11"/>
  </w:num>
  <w:num w:numId="27">
    <w:abstractNumId w:val="15"/>
  </w:num>
  <w:num w:numId="28">
    <w:abstractNumId w:val="27"/>
  </w:num>
  <w:num w:numId="29">
    <w:abstractNumId w:val="9"/>
  </w:num>
  <w:num w:numId="30">
    <w:abstractNumId w:val="12"/>
  </w:num>
  <w:num w:numId="31">
    <w:abstractNumId w:val="4"/>
  </w:num>
  <w:num w:numId="32">
    <w:abstractNumId w:val="29"/>
  </w:num>
  <w:num w:numId="33">
    <w:abstractNumId w:val="21"/>
  </w:num>
  <w:num w:numId="34">
    <w:abstractNumId w:val="5"/>
  </w:num>
  <w:num w:numId="35">
    <w:abstractNumId w:val="5"/>
  </w:num>
  <w:num w:numId="36">
    <w:abstractNumId w:val="10"/>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24"/>
  </w:num>
  <w:num w:numId="46">
    <w:abstractNumId w:val="5"/>
  </w:num>
  <w:num w:numId="47">
    <w:abstractNumId w:val="5"/>
  </w:num>
  <w:num w:numId="48">
    <w:abstractNumId w:val="5"/>
  </w:num>
  <w:num w:numId="49">
    <w:abstractNumId w:val="5"/>
  </w:num>
  <w:num w:numId="50">
    <w:abstractNumId w:val="5"/>
  </w:num>
  <w:num w:numId="51">
    <w:abstractNumId w:val="6"/>
  </w:num>
  <w:num w:numId="52">
    <w:abstractNumId w:val="13"/>
  </w:num>
  <w:num w:numId="53">
    <w:abstractNumId w:val="5"/>
  </w:num>
  <w:num w:numId="54">
    <w:abstractNumId w:val="5"/>
  </w:num>
  <w:num w:numId="55">
    <w:abstractNumId w:val="5"/>
  </w:num>
  <w:num w:numId="56">
    <w:abstractNumId w:val="5"/>
  </w:num>
  <w:num w:numId="57">
    <w:abstractNumId w:val="5"/>
  </w:num>
  <w:num w:numId="58">
    <w:abstractNumId w:val="5"/>
  </w:num>
  <w:num w:numId="59">
    <w:abstractNumId w:val="5"/>
  </w:num>
  <w:num w:numId="60">
    <w:abstractNumId w:val="5"/>
  </w:num>
  <w:num w:numId="61">
    <w:abstractNumId w:val="5"/>
  </w:num>
  <w:num w:numId="62">
    <w:abstractNumId w:val="5"/>
  </w:num>
  <w:num w:numId="63">
    <w:abstractNumId w:val="5"/>
  </w:num>
  <w:num w:numId="64">
    <w:abstractNumId w:val="1"/>
  </w:num>
  <w:num w:numId="65">
    <w:abstractNumId w:val="1"/>
  </w:num>
  <w:num w:numId="66">
    <w:abstractNumId w:val="1"/>
  </w:num>
  <w:num w:numId="67">
    <w:abstractNumId w:val="1"/>
  </w:num>
  <w:num w:numId="68">
    <w:abstractNumId w:val="1"/>
  </w:num>
  <w:num w:numId="69">
    <w:abstractNumId w:val="1"/>
  </w:num>
  <w:num w:numId="70">
    <w:abstractNumId w:val="1"/>
  </w:num>
  <w:num w:numId="71">
    <w:abstractNumId w:val="1"/>
  </w:num>
  <w:num w:numId="72">
    <w:abstractNumId w:val="1"/>
  </w:num>
  <w:num w:numId="73">
    <w:abstractNumId w:val="1"/>
  </w:num>
  <w:num w:numId="74">
    <w:abstractNumId w:val="1"/>
  </w:num>
  <w:num w:numId="75">
    <w:abstractNumId w:val="1"/>
  </w:num>
  <w:num w:numId="76">
    <w:abstractNumId w:val="1"/>
  </w:num>
  <w:num w:numId="77">
    <w:abstractNumId w:val="1"/>
  </w:num>
  <w:num w:numId="78">
    <w:abstractNumId w:val="1"/>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num>
  <w:num w:numId="88">
    <w:abstractNumId w:val="1"/>
  </w:num>
  <w:num w:numId="89">
    <w:abstractNumId w:val="1"/>
  </w:num>
  <w:num w:numId="90">
    <w:abstractNumId w:val="1"/>
  </w:num>
  <w:num w:numId="91">
    <w:abstractNumId w:val="1"/>
  </w:num>
  <w:num w:numId="92">
    <w:abstractNumId w:val="1"/>
  </w:num>
  <w:num w:numId="93">
    <w:abstractNumId w:val="19"/>
  </w:num>
  <w:num w:numId="94">
    <w:abstractNumId w:val="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624"/>
  <w:drawingGridHorizontalSpacing w:val="9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8A5909"/>
    <w:rsid w:val="0000041C"/>
    <w:rsid w:val="00000D8B"/>
    <w:rsid w:val="00002846"/>
    <w:rsid w:val="00004CB9"/>
    <w:rsid w:val="00004EFC"/>
    <w:rsid w:val="00006693"/>
    <w:rsid w:val="00010600"/>
    <w:rsid w:val="0001290F"/>
    <w:rsid w:val="00013735"/>
    <w:rsid w:val="00014571"/>
    <w:rsid w:val="000151B9"/>
    <w:rsid w:val="00016B40"/>
    <w:rsid w:val="000217FA"/>
    <w:rsid w:val="00021A6F"/>
    <w:rsid w:val="00022CF4"/>
    <w:rsid w:val="00023279"/>
    <w:rsid w:val="0002479B"/>
    <w:rsid w:val="00024827"/>
    <w:rsid w:val="000253DF"/>
    <w:rsid w:val="00025479"/>
    <w:rsid w:val="000274D0"/>
    <w:rsid w:val="00027D2B"/>
    <w:rsid w:val="00030CBE"/>
    <w:rsid w:val="0003464C"/>
    <w:rsid w:val="00034923"/>
    <w:rsid w:val="00037ADD"/>
    <w:rsid w:val="00044CF2"/>
    <w:rsid w:val="00050585"/>
    <w:rsid w:val="000521C5"/>
    <w:rsid w:val="00054EDF"/>
    <w:rsid w:val="00057AF9"/>
    <w:rsid w:val="00061A00"/>
    <w:rsid w:val="00061A98"/>
    <w:rsid w:val="00064014"/>
    <w:rsid w:val="00064A78"/>
    <w:rsid w:val="00065A4E"/>
    <w:rsid w:val="0006666D"/>
    <w:rsid w:val="00071CB4"/>
    <w:rsid w:val="00072AC1"/>
    <w:rsid w:val="00074975"/>
    <w:rsid w:val="00080B8D"/>
    <w:rsid w:val="0008257D"/>
    <w:rsid w:val="00084CC7"/>
    <w:rsid w:val="0008577B"/>
    <w:rsid w:val="000862F5"/>
    <w:rsid w:val="0008634F"/>
    <w:rsid w:val="00086491"/>
    <w:rsid w:val="00090266"/>
    <w:rsid w:val="000973D1"/>
    <w:rsid w:val="00097924"/>
    <w:rsid w:val="00097C45"/>
    <w:rsid w:val="000A09FC"/>
    <w:rsid w:val="000A447C"/>
    <w:rsid w:val="000A4FB6"/>
    <w:rsid w:val="000B0F82"/>
    <w:rsid w:val="000B1F06"/>
    <w:rsid w:val="000B58B0"/>
    <w:rsid w:val="000B6F7D"/>
    <w:rsid w:val="000B74D1"/>
    <w:rsid w:val="000B7D90"/>
    <w:rsid w:val="000C047C"/>
    <w:rsid w:val="000C23CB"/>
    <w:rsid w:val="000C2D56"/>
    <w:rsid w:val="000C4AF1"/>
    <w:rsid w:val="000D4075"/>
    <w:rsid w:val="000D5684"/>
    <w:rsid w:val="000D74D3"/>
    <w:rsid w:val="000D7F41"/>
    <w:rsid w:val="000E0C1A"/>
    <w:rsid w:val="000E1D1C"/>
    <w:rsid w:val="000E2BD3"/>
    <w:rsid w:val="000E41CF"/>
    <w:rsid w:val="000E72AF"/>
    <w:rsid w:val="000E7952"/>
    <w:rsid w:val="000F3195"/>
    <w:rsid w:val="000F35B9"/>
    <w:rsid w:val="000F474D"/>
    <w:rsid w:val="000F5F1B"/>
    <w:rsid w:val="000F70E4"/>
    <w:rsid w:val="000F757E"/>
    <w:rsid w:val="00103E30"/>
    <w:rsid w:val="00103FE2"/>
    <w:rsid w:val="001107C8"/>
    <w:rsid w:val="00111189"/>
    <w:rsid w:val="00112549"/>
    <w:rsid w:val="00113714"/>
    <w:rsid w:val="00114A8F"/>
    <w:rsid w:val="00116ADD"/>
    <w:rsid w:val="00117293"/>
    <w:rsid w:val="001211FD"/>
    <w:rsid w:val="00126AB4"/>
    <w:rsid w:val="00127105"/>
    <w:rsid w:val="001279C6"/>
    <w:rsid w:val="00130971"/>
    <w:rsid w:val="00132792"/>
    <w:rsid w:val="00134BEE"/>
    <w:rsid w:val="001361CD"/>
    <w:rsid w:val="00137384"/>
    <w:rsid w:val="00137704"/>
    <w:rsid w:val="001405ED"/>
    <w:rsid w:val="00140C63"/>
    <w:rsid w:val="00140CB4"/>
    <w:rsid w:val="001419B2"/>
    <w:rsid w:val="00142481"/>
    <w:rsid w:val="00147C46"/>
    <w:rsid w:val="00147F1A"/>
    <w:rsid w:val="001532D9"/>
    <w:rsid w:val="00153C38"/>
    <w:rsid w:val="00155DD3"/>
    <w:rsid w:val="001573E8"/>
    <w:rsid w:val="001574F9"/>
    <w:rsid w:val="00161770"/>
    <w:rsid w:val="0016180D"/>
    <w:rsid w:val="00161A94"/>
    <w:rsid w:val="00170586"/>
    <w:rsid w:val="00171E56"/>
    <w:rsid w:val="0017294A"/>
    <w:rsid w:val="00173EDD"/>
    <w:rsid w:val="00176F72"/>
    <w:rsid w:val="00181645"/>
    <w:rsid w:val="00183157"/>
    <w:rsid w:val="00185882"/>
    <w:rsid w:val="00185CE2"/>
    <w:rsid w:val="0018712C"/>
    <w:rsid w:val="00190957"/>
    <w:rsid w:val="00190FA8"/>
    <w:rsid w:val="001951A4"/>
    <w:rsid w:val="00195E60"/>
    <w:rsid w:val="001A1664"/>
    <w:rsid w:val="001A3106"/>
    <w:rsid w:val="001B0A62"/>
    <w:rsid w:val="001B0F00"/>
    <w:rsid w:val="001B198B"/>
    <w:rsid w:val="001B1CEB"/>
    <w:rsid w:val="001B33ED"/>
    <w:rsid w:val="001B7503"/>
    <w:rsid w:val="001C27FD"/>
    <w:rsid w:val="001C2CD6"/>
    <w:rsid w:val="001C75A3"/>
    <w:rsid w:val="001D0D5F"/>
    <w:rsid w:val="001D3B8F"/>
    <w:rsid w:val="001D5F06"/>
    <w:rsid w:val="001E394D"/>
    <w:rsid w:val="001E520C"/>
    <w:rsid w:val="001E5E3F"/>
    <w:rsid w:val="001E634F"/>
    <w:rsid w:val="001E6A99"/>
    <w:rsid w:val="001F0727"/>
    <w:rsid w:val="001F3126"/>
    <w:rsid w:val="001F34B9"/>
    <w:rsid w:val="001F3C61"/>
    <w:rsid w:val="001F3FAE"/>
    <w:rsid w:val="001F63A2"/>
    <w:rsid w:val="001F70D1"/>
    <w:rsid w:val="00202A4B"/>
    <w:rsid w:val="002042DA"/>
    <w:rsid w:val="00210B70"/>
    <w:rsid w:val="0021171E"/>
    <w:rsid w:val="00212AE6"/>
    <w:rsid w:val="00213DAA"/>
    <w:rsid w:val="00214379"/>
    <w:rsid w:val="0021524A"/>
    <w:rsid w:val="00220240"/>
    <w:rsid w:val="0022112F"/>
    <w:rsid w:val="00221C43"/>
    <w:rsid w:val="00223569"/>
    <w:rsid w:val="00224634"/>
    <w:rsid w:val="00225605"/>
    <w:rsid w:val="0023049B"/>
    <w:rsid w:val="00230993"/>
    <w:rsid w:val="00230E28"/>
    <w:rsid w:val="00234469"/>
    <w:rsid w:val="00237766"/>
    <w:rsid w:val="00245700"/>
    <w:rsid w:val="00246F9B"/>
    <w:rsid w:val="0025109D"/>
    <w:rsid w:val="00252D1A"/>
    <w:rsid w:val="00254DA6"/>
    <w:rsid w:val="002562DF"/>
    <w:rsid w:val="00256ECE"/>
    <w:rsid w:val="00260450"/>
    <w:rsid w:val="00264CEB"/>
    <w:rsid w:val="00266831"/>
    <w:rsid w:val="00274827"/>
    <w:rsid w:val="00274C0B"/>
    <w:rsid w:val="00277DD7"/>
    <w:rsid w:val="00290EBF"/>
    <w:rsid w:val="002910A8"/>
    <w:rsid w:val="002930A3"/>
    <w:rsid w:val="00294D09"/>
    <w:rsid w:val="00295E2C"/>
    <w:rsid w:val="002969B6"/>
    <w:rsid w:val="002A1911"/>
    <w:rsid w:val="002A2E00"/>
    <w:rsid w:val="002A721E"/>
    <w:rsid w:val="002A752B"/>
    <w:rsid w:val="002A7B32"/>
    <w:rsid w:val="002B0E09"/>
    <w:rsid w:val="002B10F5"/>
    <w:rsid w:val="002B1B4B"/>
    <w:rsid w:val="002B6CD0"/>
    <w:rsid w:val="002B7733"/>
    <w:rsid w:val="002C133C"/>
    <w:rsid w:val="002C1ECA"/>
    <w:rsid w:val="002C3D96"/>
    <w:rsid w:val="002C4494"/>
    <w:rsid w:val="002C65DD"/>
    <w:rsid w:val="002C721D"/>
    <w:rsid w:val="002D2D01"/>
    <w:rsid w:val="002D5DC8"/>
    <w:rsid w:val="002F20A7"/>
    <w:rsid w:val="002F22A0"/>
    <w:rsid w:val="002F2B26"/>
    <w:rsid w:val="002F7914"/>
    <w:rsid w:val="00302E0C"/>
    <w:rsid w:val="0031044F"/>
    <w:rsid w:val="00312550"/>
    <w:rsid w:val="003140A4"/>
    <w:rsid w:val="00314A28"/>
    <w:rsid w:val="003166F2"/>
    <w:rsid w:val="00317BA0"/>
    <w:rsid w:val="003203B3"/>
    <w:rsid w:val="00320B6C"/>
    <w:rsid w:val="003264BF"/>
    <w:rsid w:val="00327E82"/>
    <w:rsid w:val="0033040B"/>
    <w:rsid w:val="0033222D"/>
    <w:rsid w:val="0033578C"/>
    <w:rsid w:val="00341836"/>
    <w:rsid w:val="00343B59"/>
    <w:rsid w:val="00345A85"/>
    <w:rsid w:val="0035131C"/>
    <w:rsid w:val="0035218D"/>
    <w:rsid w:val="003538D2"/>
    <w:rsid w:val="00354D5E"/>
    <w:rsid w:val="00355F33"/>
    <w:rsid w:val="0035684C"/>
    <w:rsid w:val="00356AD7"/>
    <w:rsid w:val="003610B9"/>
    <w:rsid w:val="00361720"/>
    <w:rsid w:val="00362E9A"/>
    <w:rsid w:val="00363439"/>
    <w:rsid w:val="00363836"/>
    <w:rsid w:val="00372D19"/>
    <w:rsid w:val="003822F7"/>
    <w:rsid w:val="003824F4"/>
    <w:rsid w:val="0038760B"/>
    <w:rsid w:val="00387870"/>
    <w:rsid w:val="00395569"/>
    <w:rsid w:val="0039632B"/>
    <w:rsid w:val="00396ED5"/>
    <w:rsid w:val="0039765C"/>
    <w:rsid w:val="003979F9"/>
    <w:rsid w:val="00397CB8"/>
    <w:rsid w:val="003A1069"/>
    <w:rsid w:val="003A260C"/>
    <w:rsid w:val="003A3110"/>
    <w:rsid w:val="003A37B3"/>
    <w:rsid w:val="003A4A01"/>
    <w:rsid w:val="003B0836"/>
    <w:rsid w:val="003B3091"/>
    <w:rsid w:val="003B568A"/>
    <w:rsid w:val="003B7C59"/>
    <w:rsid w:val="003C12D8"/>
    <w:rsid w:val="003C3FC2"/>
    <w:rsid w:val="003C4AD2"/>
    <w:rsid w:val="003D2BB8"/>
    <w:rsid w:val="003D4BAF"/>
    <w:rsid w:val="003D549D"/>
    <w:rsid w:val="003D603B"/>
    <w:rsid w:val="003D68A9"/>
    <w:rsid w:val="003D7D8C"/>
    <w:rsid w:val="003E2C2B"/>
    <w:rsid w:val="003E7337"/>
    <w:rsid w:val="003E7B69"/>
    <w:rsid w:val="003F4449"/>
    <w:rsid w:val="003F6E45"/>
    <w:rsid w:val="003F7E10"/>
    <w:rsid w:val="004009E6"/>
    <w:rsid w:val="00412B2F"/>
    <w:rsid w:val="00414E98"/>
    <w:rsid w:val="0041500C"/>
    <w:rsid w:val="00415040"/>
    <w:rsid w:val="00416804"/>
    <w:rsid w:val="004206BF"/>
    <w:rsid w:val="004237F8"/>
    <w:rsid w:val="004238FE"/>
    <w:rsid w:val="00424AE3"/>
    <w:rsid w:val="00427559"/>
    <w:rsid w:val="004317B5"/>
    <w:rsid w:val="00437D23"/>
    <w:rsid w:val="00440678"/>
    <w:rsid w:val="004416B8"/>
    <w:rsid w:val="004426F2"/>
    <w:rsid w:val="00443BEC"/>
    <w:rsid w:val="00444267"/>
    <w:rsid w:val="0044780D"/>
    <w:rsid w:val="00447926"/>
    <w:rsid w:val="004519FF"/>
    <w:rsid w:val="004547B9"/>
    <w:rsid w:val="00454E45"/>
    <w:rsid w:val="004561DF"/>
    <w:rsid w:val="00456783"/>
    <w:rsid w:val="0045713E"/>
    <w:rsid w:val="00463E91"/>
    <w:rsid w:val="004659AB"/>
    <w:rsid w:val="004660F4"/>
    <w:rsid w:val="004727AC"/>
    <w:rsid w:val="00475A48"/>
    <w:rsid w:val="00480600"/>
    <w:rsid w:val="00481A2A"/>
    <w:rsid w:val="00483EF7"/>
    <w:rsid w:val="00486961"/>
    <w:rsid w:val="004905EE"/>
    <w:rsid w:val="00493EA8"/>
    <w:rsid w:val="004945C4"/>
    <w:rsid w:val="00495192"/>
    <w:rsid w:val="00495AD3"/>
    <w:rsid w:val="004962D0"/>
    <w:rsid w:val="00496E77"/>
    <w:rsid w:val="00497037"/>
    <w:rsid w:val="004A0C8A"/>
    <w:rsid w:val="004A5298"/>
    <w:rsid w:val="004A54C4"/>
    <w:rsid w:val="004A633F"/>
    <w:rsid w:val="004A6F70"/>
    <w:rsid w:val="004B1288"/>
    <w:rsid w:val="004B1963"/>
    <w:rsid w:val="004B1F13"/>
    <w:rsid w:val="004B5256"/>
    <w:rsid w:val="004C0A29"/>
    <w:rsid w:val="004C0EB4"/>
    <w:rsid w:val="004C16F8"/>
    <w:rsid w:val="004C52A2"/>
    <w:rsid w:val="004C67D8"/>
    <w:rsid w:val="004C6DD9"/>
    <w:rsid w:val="004D0E1E"/>
    <w:rsid w:val="004D189B"/>
    <w:rsid w:val="004D7BEC"/>
    <w:rsid w:val="004E0204"/>
    <w:rsid w:val="004E0A60"/>
    <w:rsid w:val="004E1903"/>
    <w:rsid w:val="004E3817"/>
    <w:rsid w:val="004E5F21"/>
    <w:rsid w:val="004E69FA"/>
    <w:rsid w:val="004F0310"/>
    <w:rsid w:val="004F2A7A"/>
    <w:rsid w:val="004F7C39"/>
    <w:rsid w:val="0050065A"/>
    <w:rsid w:val="00502974"/>
    <w:rsid w:val="00511F28"/>
    <w:rsid w:val="0051217D"/>
    <w:rsid w:val="00513997"/>
    <w:rsid w:val="00515558"/>
    <w:rsid w:val="00520D6A"/>
    <w:rsid w:val="00520F43"/>
    <w:rsid w:val="00530B55"/>
    <w:rsid w:val="00530D52"/>
    <w:rsid w:val="00531354"/>
    <w:rsid w:val="0053364D"/>
    <w:rsid w:val="00533A14"/>
    <w:rsid w:val="005413AA"/>
    <w:rsid w:val="005413B8"/>
    <w:rsid w:val="00550A1A"/>
    <w:rsid w:val="00551151"/>
    <w:rsid w:val="00554D3E"/>
    <w:rsid w:val="005555C5"/>
    <w:rsid w:val="0055612E"/>
    <w:rsid w:val="00556520"/>
    <w:rsid w:val="00557648"/>
    <w:rsid w:val="00563D80"/>
    <w:rsid w:val="00563E3B"/>
    <w:rsid w:val="00567B57"/>
    <w:rsid w:val="00572269"/>
    <w:rsid w:val="00572D8A"/>
    <w:rsid w:val="00573F04"/>
    <w:rsid w:val="005824FC"/>
    <w:rsid w:val="00582D9D"/>
    <w:rsid w:val="00582F44"/>
    <w:rsid w:val="00583142"/>
    <w:rsid w:val="0058378C"/>
    <w:rsid w:val="00584B0A"/>
    <w:rsid w:val="00584FA2"/>
    <w:rsid w:val="00585D11"/>
    <w:rsid w:val="00587D39"/>
    <w:rsid w:val="005905BA"/>
    <w:rsid w:val="0059192B"/>
    <w:rsid w:val="00595704"/>
    <w:rsid w:val="00596564"/>
    <w:rsid w:val="005A1DF8"/>
    <w:rsid w:val="005A30FF"/>
    <w:rsid w:val="005A79E2"/>
    <w:rsid w:val="005A7A84"/>
    <w:rsid w:val="005B1D10"/>
    <w:rsid w:val="005B2D2E"/>
    <w:rsid w:val="005B3C92"/>
    <w:rsid w:val="005B6B74"/>
    <w:rsid w:val="005B7701"/>
    <w:rsid w:val="005B7D76"/>
    <w:rsid w:val="005C1337"/>
    <w:rsid w:val="005C2BD0"/>
    <w:rsid w:val="005C3E3E"/>
    <w:rsid w:val="005C4DB7"/>
    <w:rsid w:val="005C62DE"/>
    <w:rsid w:val="005C7485"/>
    <w:rsid w:val="005D281F"/>
    <w:rsid w:val="005D3271"/>
    <w:rsid w:val="005D4F7F"/>
    <w:rsid w:val="005D67FD"/>
    <w:rsid w:val="005E004A"/>
    <w:rsid w:val="005E1FC9"/>
    <w:rsid w:val="005E5515"/>
    <w:rsid w:val="005E72AA"/>
    <w:rsid w:val="005E74E1"/>
    <w:rsid w:val="005F148B"/>
    <w:rsid w:val="005F2B05"/>
    <w:rsid w:val="005F4BC2"/>
    <w:rsid w:val="005F7C8F"/>
    <w:rsid w:val="006032CE"/>
    <w:rsid w:val="006035ED"/>
    <w:rsid w:val="00603CBC"/>
    <w:rsid w:val="00606AAC"/>
    <w:rsid w:val="00607BF6"/>
    <w:rsid w:val="00610469"/>
    <w:rsid w:val="00611012"/>
    <w:rsid w:val="00611DBF"/>
    <w:rsid w:val="00612B81"/>
    <w:rsid w:val="00616913"/>
    <w:rsid w:val="00627C5F"/>
    <w:rsid w:val="0063380A"/>
    <w:rsid w:val="00633955"/>
    <w:rsid w:val="00635069"/>
    <w:rsid w:val="00635A53"/>
    <w:rsid w:val="00636A40"/>
    <w:rsid w:val="00636B34"/>
    <w:rsid w:val="0064354A"/>
    <w:rsid w:val="00644204"/>
    <w:rsid w:val="00647BC3"/>
    <w:rsid w:val="00651C86"/>
    <w:rsid w:val="00651E4D"/>
    <w:rsid w:val="006522CC"/>
    <w:rsid w:val="00655098"/>
    <w:rsid w:val="00655174"/>
    <w:rsid w:val="006552C6"/>
    <w:rsid w:val="00660138"/>
    <w:rsid w:val="0066256B"/>
    <w:rsid w:val="00662702"/>
    <w:rsid w:val="00663887"/>
    <w:rsid w:val="00664A93"/>
    <w:rsid w:val="00665CFE"/>
    <w:rsid w:val="0066761E"/>
    <w:rsid w:val="006748F0"/>
    <w:rsid w:val="00683E2D"/>
    <w:rsid w:val="0068705C"/>
    <w:rsid w:val="006874FA"/>
    <w:rsid w:val="00687A62"/>
    <w:rsid w:val="00693091"/>
    <w:rsid w:val="00694A63"/>
    <w:rsid w:val="00697F7E"/>
    <w:rsid w:val="006A0047"/>
    <w:rsid w:val="006A129A"/>
    <w:rsid w:val="006A29AD"/>
    <w:rsid w:val="006A39D2"/>
    <w:rsid w:val="006A3B3F"/>
    <w:rsid w:val="006A5815"/>
    <w:rsid w:val="006B0B92"/>
    <w:rsid w:val="006B469F"/>
    <w:rsid w:val="006B713E"/>
    <w:rsid w:val="006C0038"/>
    <w:rsid w:val="006C0B2C"/>
    <w:rsid w:val="006C1056"/>
    <w:rsid w:val="006C1F64"/>
    <w:rsid w:val="006C3A18"/>
    <w:rsid w:val="006C5201"/>
    <w:rsid w:val="006C5E28"/>
    <w:rsid w:val="006D022E"/>
    <w:rsid w:val="006D04A7"/>
    <w:rsid w:val="006D6EC7"/>
    <w:rsid w:val="006E10C7"/>
    <w:rsid w:val="006E200C"/>
    <w:rsid w:val="006E3020"/>
    <w:rsid w:val="006E307B"/>
    <w:rsid w:val="006E5687"/>
    <w:rsid w:val="006E691C"/>
    <w:rsid w:val="006F20BE"/>
    <w:rsid w:val="006F451D"/>
    <w:rsid w:val="006F6A2F"/>
    <w:rsid w:val="007048DE"/>
    <w:rsid w:val="00705D79"/>
    <w:rsid w:val="00711FB4"/>
    <w:rsid w:val="007125CB"/>
    <w:rsid w:val="00712C7F"/>
    <w:rsid w:val="00714A38"/>
    <w:rsid w:val="00714BAD"/>
    <w:rsid w:val="00715ECD"/>
    <w:rsid w:val="0072442B"/>
    <w:rsid w:val="0073206B"/>
    <w:rsid w:val="007323AF"/>
    <w:rsid w:val="00734486"/>
    <w:rsid w:val="007346D1"/>
    <w:rsid w:val="007408F4"/>
    <w:rsid w:val="00741315"/>
    <w:rsid w:val="0074453B"/>
    <w:rsid w:val="00746EF2"/>
    <w:rsid w:val="00750624"/>
    <w:rsid w:val="007528A7"/>
    <w:rsid w:val="007543C1"/>
    <w:rsid w:val="00756A0F"/>
    <w:rsid w:val="0077160E"/>
    <w:rsid w:val="00771CD8"/>
    <w:rsid w:val="00774E04"/>
    <w:rsid w:val="00775072"/>
    <w:rsid w:val="0078547B"/>
    <w:rsid w:val="007874C9"/>
    <w:rsid w:val="007937C4"/>
    <w:rsid w:val="00794F72"/>
    <w:rsid w:val="007958AF"/>
    <w:rsid w:val="007965DA"/>
    <w:rsid w:val="007A1587"/>
    <w:rsid w:val="007A1D31"/>
    <w:rsid w:val="007A378A"/>
    <w:rsid w:val="007A3EA1"/>
    <w:rsid w:val="007A5332"/>
    <w:rsid w:val="007A5AE5"/>
    <w:rsid w:val="007A7091"/>
    <w:rsid w:val="007C32B6"/>
    <w:rsid w:val="007C5232"/>
    <w:rsid w:val="007C67CF"/>
    <w:rsid w:val="007D45D3"/>
    <w:rsid w:val="007D5AF3"/>
    <w:rsid w:val="007D5DF1"/>
    <w:rsid w:val="007D6CCC"/>
    <w:rsid w:val="007D72C3"/>
    <w:rsid w:val="007E16B3"/>
    <w:rsid w:val="007E18B6"/>
    <w:rsid w:val="007E1CBB"/>
    <w:rsid w:val="007E3DBE"/>
    <w:rsid w:val="007E5F5A"/>
    <w:rsid w:val="007F0735"/>
    <w:rsid w:val="00800B4C"/>
    <w:rsid w:val="00801A95"/>
    <w:rsid w:val="008021DA"/>
    <w:rsid w:val="00805C22"/>
    <w:rsid w:val="0080624B"/>
    <w:rsid w:val="008110D9"/>
    <w:rsid w:val="00813074"/>
    <w:rsid w:val="00814794"/>
    <w:rsid w:val="00820039"/>
    <w:rsid w:val="0082196B"/>
    <w:rsid w:val="00821D5F"/>
    <w:rsid w:val="00821FCC"/>
    <w:rsid w:val="008234EF"/>
    <w:rsid w:val="008243C3"/>
    <w:rsid w:val="00825332"/>
    <w:rsid w:val="008261A3"/>
    <w:rsid w:val="008261A6"/>
    <w:rsid w:val="008263D5"/>
    <w:rsid w:val="00831D6E"/>
    <w:rsid w:val="0083353C"/>
    <w:rsid w:val="008339F0"/>
    <w:rsid w:val="00835F86"/>
    <w:rsid w:val="00842D41"/>
    <w:rsid w:val="00842E3E"/>
    <w:rsid w:val="00843A82"/>
    <w:rsid w:val="008444D8"/>
    <w:rsid w:val="008445B4"/>
    <w:rsid w:val="008474B9"/>
    <w:rsid w:val="00847687"/>
    <w:rsid w:val="0085020F"/>
    <w:rsid w:val="00853719"/>
    <w:rsid w:val="00857B45"/>
    <w:rsid w:val="00860127"/>
    <w:rsid w:val="008607E1"/>
    <w:rsid w:val="00866311"/>
    <w:rsid w:val="0086791E"/>
    <w:rsid w:val="00871132"/>
    <w:rsid w:val="00872DBA"/>
    <w:rsid w:val="00874DAB"/>
    <w:rsid w:val="00875189"/>
    <w:rsid w:val="008763F7"/>
    <w:rsid w:val="0087793A"/>
    <w:rsid w:val="0088582B"/>
    <w:rsid w:val="008871C5"/>
    <w:rsid w:val="00887CAC"/>
    <w:rsid w:val="00891597"/>
    <w:rsid w:val="008926E7"/>
    <w:rsid w:val="00895379"/>
    <w:rsid w:val="00895E22"/>
    <w:rsid w:val="008975C4"/>
    <w:rsid w:val="008A29C8"/>
    <w:rsid w:val="008A2AC9"/>
    <w:rsid w:val="008A5738"/>
    <w:rsid w:val="008A5909"/>
    <w:rsid w:val="008A76DD"/>
    <w:rsid w:val="008B0EE4"/>
    <w:rsid w:val="008B5CF4"/>
    <w:rsid w:val="008C1FDC"/>
    <w:rsid w:val="008C2559"/>
    <w:rsid w:val="008D5183"/>
    <w:rsid w:val="008D7859"/>
    <w:rsid w:val="008E21A4"/>
    <w:rsid w:val="008E2BBA"/>
    <w:rsid w:val="008E4B51"/>
    <w:rsid w:val="008E5966"/>
    <w:rsid w:val="008E5F23"/>
    <w:rsid w:val="008E607E"/>
    <w:rsid w:val="008E633D"/>
    <w:rsid w:val="008F04A3"/>
    <w:rsid w:val="008F1EB2"/>
    <w:rsid w:val="009010B9"/>
    <w:rsid w:val="00901D7B"/>
    <w:rsid w:val="00905B1F"/>
    <w:rsid w:val="00907C0D"/>
    <w:rsid w:val="009101B5"/>
    <w:rsid w:val="00914863"/>
    <w:rsid w:val="00914CA6"/>
    <w:rsid w:val="00916464"/>
    <w:rsid w:val="009169A2"/>
    <w:rsid w:val="00920021"/>
    <w:rsid w:val="0092133A"/>
    <w:rsid w:val="00921F9C"/>
    <w:rsid w:val="00930E1E"/>
    <w:rsid w:val="009324B9"/>
    <w:rsid w:val="00935E1C"/>
    <w:rsid w:val="00937512"/>
    <w:rsid w:val="00937E07"/>
    <w:rsid w:val="009432EA"/>
    <w:rsid w:val="00944C04"/>
    <w:rsid w:val="00945598"/>
    <w:rsid w:val="00946B64"/>
    <w:rsid w:val="00947A41"/>
    <w:rsid w:val="0095051A"/>
    <w:rsid w:val="0095155F"/>
    <w:rsid w:val="009516FD"/>
    <w:rsid w:val="00953462"/>
    <w:rsid w:val="00953FF9"/>
    <w:rsid w:val="00954904"/>
    <w:rsid w:val="009567A2"/>
    <w:rsid w:val="00956A6F"/>
    <w:rsid w:val="009603DA"/>
    <w:rsid w:val="00960EA3"/>
    <w:rsid w:val="009624A2"/>
    <w:rsid w:val="00962523"/>
    <w:rsid w:val="00963204"/>
    <w:rsid w:val="00963647"/>
    <w:rsid w:val="00964609"/>
    <w:rsid w:val="00965A84"/>
    <w:rsid w:val="009700DB"/>
    <w:rsid w:val="00970703"/>
    <w:rsid w:val="00972604"/>
    <w:rsid w:val="0097396E"/>
    <w:rsid w:val="009749E4"/>
    <w:rsid w:val="009813C5"/>
    <w:rsid w:val="0098393C"/>
    <w:rsid w:val="00990B22"/>
    <w:rsid w:val="00992257"/>
    <w:rsid w:val="009925E4"/>
    <w:rsid w:val="00993D79"/>
    <w:rsid w:val="0099410F"/>
    <w:rsid w:val="009A1006"/>
    <w:rsid w:val="009A2014"/>
    <w:rsid w:val="009A3672"/>
    <w:rsid w:val="009A4447"/>
    <w:rsid w:val="009B234A"/>
    <w:rsid w:val="009B4C04"/>
    <w:rsid w:val="009B56E6"/>
    <w:rsid w:val="009C3B4A"/>
    <w:rsid w:val="009C7508"/>
    <w:rsid w:val="009D53C3"/>
    <w:rsid w:val="009D6985"/>
    <w:rsid w:val="009D76DD"/>
    <w:rsid w:val="009D79D0"/>
    <w:rsid w:val="009D7FA7"/>
    <w:rsid w:val="009E03F7"/>
    <w:rsid w:val="009E0B38"/>
    <w:rsid w:val="009E6391"/>
    <w:rsid w:val="009F136B"/>
    <w:rsid w:val="009F564E"/>
    <w:rsid w:val="009F65BD"/>
    <w:rsid w:val="00A00039"/>
    <w:rsid w:val="00A044C9"/>
    <w:rsid w:val="00A04E42"/>
    <w:rsid w:val="00A062C5"/>
    <w:rsid w:val="00A07654"/>
    <w:rsid w:val="00A12B0E"/>
    <w:rsid w:val="00A16974"/>
    <w:rsid w:val="00A171F9"/>
    <w:rsid w:val="00A1778B"/>
    <w:rsid w:val="00A21630"/>
    <w:rsid w:val="00A23E6C"/>
    <w:rsid w:val="00A25E32"/>
    <w:rsid w:val="00A27C28"/>
    <w:rsid w:val="00A30356"/>
    <w:rsid w:val="00A303D7"/>
    <w:rsid w:val="00A32437"/>
    <w:rsid w:val="00A33386"/>
    <w:rsid w:val="00A3442F"/>
    <w:rsid w:val="00A40E9F"/>
    <w:rsid w:val="00A422D8"/>
    <w:rsid w:val="00A45FB7"/>
    <w:rsid w:val="00A46562"/>
    <w:rsid w:val="00A469D9"/>
    <w:rsid w:val="00A46ACF"/>
    <w:rsid w:val="00A53703"/>
    <w:rsid w:val="00A53886"/>
    <w:rsid w:val="00A55E3E"/>
    <w:rsid w:val="00A56C5E"/>
    <w:rsid w:val="00A6372C"/>
    <w:rsid w:val="00A6434D"/>
    <w:rsid w:val="00A73059"/>
    <w:rsid w:val="00A744E7"/>
    <w:rsid w:val="00A74DA0"/>
    <w:rsid w:val="00A76BCC"/>
    <w:rsid w:val="00A77008"/>
    <w:rsid w:val="00A83932"/>
    <w:rsid w:val="00A85042"/>
    <w:rsid w:val="00A85C03"/>
    <w:rsid w:val="00A86ED5"/>
    <w:rsid w:val="00A876ED"/>
    <w:rsid w:val="00A91014"/>
    <w:rsid w:val="00A9224D"/>
    <w:rsid w:val="00A93C88"/>
    <w:rsid w:val="00A94C61"/>
    <w:rsid w:val="00A94C64"/>
    <w:rsid w:val="00A95C27"/>
    <w:rsid w:val="00A969D5"/>
    <w:rsid w:val="00A97B4D"/>
    <w:rsid w:val="00AA18E0"/>
    <w:rsid w:val="00AA3C80"/>
    <w:rsid w:val="00AA45CD"/>
    <w:rsid w:val="00AA5E20"/>
    <w:rsid w:val="00AA72AE"/>
    <w:rsid w:val="00AA7CE7"/>
    <w:rsid w:val="00AB45B4"/>
    <w:rsid w:val="00AB5861"/>
    <w:rsid w:val="00AB64DE"/>
    <w:rsid w:val="00AB6594"/>
    <w:rsid w:val="00AC2C83"/>
    <w:rsid w:val="00AC2F86"/>
    <w:rsid w:val="00AC39D4"/>
    <w:rsid w:val="00AC3AA1"/>
    <w:rsid w:val="00AC44EF"/>
    <w:rsid w:val="00AD0AD4"/>
    <w:rsid w:val="00AD2384"/>
    <w:rsid w:val="00AD284C"/>
    <w:rsid w:val="00AD2C94"/>
    <w:rsid w:val="00AD49CD"/>
    <w:rsid w:val="00AD69CB"/>
    <w:rsid w:val="00AD75C4"/>
    <w:rsid w:val="00AD7E24"/>
    <w:rsid w:val="00AE03B7"/>
    <w:rsid w:val="00AE0666"/>
    <w:rsid w:val="00AE1DD0"/>
    <w:rsid w:val="00AE3637"/>
    <w:rsid w:val="00AE4368"/>
    <w:rsid w:val="00AE5787"/>
    <w:rsid w:val="00AF0603"/>
    <w:rsid w:val="00AF5BFD"/>
    <w:rsid w:val="00AF7A9B"/>
    <w:rsid w:val="00AF7FEB"/>
    <w:rsid w:val="00B014F9"/>
    <w:rsid w:val="00B04BA4"/>
    <w:rsid w:val="00B05834"/>
    <w:rsid w:val="00B12E51"/>
    <w:rsid w:val="00B2245A"/>
    <w:rsid w:val="00B234E8"/>
    <w:rsid w:val="00B24E0A"/>
    <w:rsid w:val="00B31D0B"/>
    <w:rsid w:val="00B33C2F"/>
    <w:rsid w:val="00B36AA3"/>
    <w:rsid w:val="00B37D17"/>
    <w:rsid w:val="00B4386E"/>
    <w:rsid w:val="00B4463D"/>
    <w:rsid w:val="00B44870"/>
    <w:rsid w:val="00B462C6"/>
    <w:rsid w:val="00B52767"/>
    <w:rsid w:val="00B5516D"/>
    <w:rsid w:val="00B56C6B"/>
    <w:rsid w:val="00B61CE2"/>
    <w:rsid w:val="00B62463"/>
    <w:rsid w:val="00B633A0"/>
    <w:rsid w:val="00B6608E"/>
    <w:rsid w:val="00B707D4"/>
    <w:rsid w:val="00B7097A"/>
    <w:rsid w:val="00B72167"/>
    <w:rsid w:val="00B75312"/>
    <w:rsid w:val="00B7571C"/>
    <w:rsid w:val="00B7735E"/>
    <w:rsid w:val="00B7794E"/>
    <w:rsid w:val="00B84766"/>
    <w:rsid w:val="00B86B71"/>
    <w:rsid w:val="00B927B5"/>
    <w:rsid w:val="00B93BDE"/>
    <w:rsid w:val="00B93D96"/>
    <w:rsid w:val="00B93F96"/>
    <w:rsid w:val="00B94284"/>
    <w:rsid w:val="00B95049"/>
    <w:rsid w:val="00B966CE"/>
    <w:rsid w:val="00BA020E"/>
    <w:rsid w:val="00BA0686"/>
    <w:rsid w:val="00BA0C92"/>
    <w:rsid w:val="00BA0DC0"/>
    <w:rsid w:val="00BA3483"/>
    <w:rsid w:val="00BA61EF"/>
    <w:rsid w:val="00BB0BB3"/>
    <w:rsid w:val="00BB1364"/>
    <w:rsid w:val="00BB26BC"/>
    <w:rsid w:val="00BB2E75"/>
    <w:rsid w:val="00BB40F7"/>
    <w:rsid w:val="00BB681C"/>
    <w:rsid w:val="00BC15B7"/>
    <w:rsid w:val="00BC260E"/>
    <w:rsid w:val="00BC2ACE"/>
    <w:rsid w:val="00BC2B31"/>
    <w:rsid w:val="00BC337D"/>
    <w:rsid w:val="00BC35CC"/>
    <w:rsid w:val="00BC3D47"/>
    <w:rsid w:val="00BC70BE"/>
    <w:rsid w:val="00BD1930"/>
    <w:rsid w:val="00BD1AFD"/>
    <w:rsid w:val="00BD289E"/>
    <w:rsid w:val="00BD7BB6"/>
    <w:rsid w:val="00BE243D"/>
    <w:rsid w:val="00BE5CEA"/>
    <w:rsid w:val="00BE6231"/>
    <w:rsid w:val="00BE73F2"/>
    <w:rsid w:val="00BF13E8"/>
    <w:rsid w:val="00BF1E61"/>
    <w:rsid w:val="00BF37A3"/>
    <w:rsid w:val="00BF5ABB"/>
    <w:rsid w:val="00C0056E"/>
    <w:rsid w:val="00C03073"/>
    <w:rsid w:val="00C0677C"/>
    <w:rsid w:val="00C10150"/>
    <w:rsid w:val="00C11171"/>
    <w:rsid w:val="00C12200"/>
    <w:rsid w:val="00C139AA"/>
    <w:rsid w:val="00C1574D"/>
    <w:rsid w:val="00C17461"/>
    <w:rsid w:val="00C21BFB"/>
    <w:rsid w:val="00C27A07"/>
    <w:rsid w:val="00C31B55"/>
    <w:rsid w:val="00C33421"/>
    <w:rsid w:val="00C33F00"/>
    <w:rsid w:val="00C34891"/>
    <w:rsid w:val="00C35BF1"/>
    <w:rsid w:val="00C35D92"/>
    <w:rsid w:val="00C36423"/>
    <w:rsid w:val="00C3737B"/>
    <w:rsid w:val="00C40B0F"/>
    <w:rsid w:val="00C41D45"/>
    <w:rsid w:val="00C42098"/>
    <w:rsid w:val="00C4291D"/>
    <w:rsid w:val="00C4311F"/>
    <w:rsid w:val="00C44E7C"/>
    <w:rsid w:val="00C45B36"/>
    <w:rsid w:val="00C50F1B"/>
    <w:rsid w:val="00C51B55"/>
    <w:rsid w:val="00C52A3F"/>
    <w:rsid w:val="00C52B2D"/>
    <w:rsid w:val="00C561DC"/>
    <w:rsid w:val="00C56982"/>
    <w:rsid w:val="00C5759D"/>
    <w:rsid w:val="00C65421"/>
    <w:rsid w:val="00C70685"/>
    <w:rsid w:val="00C7226B"/>
    <w:rsid w:val="00C724A9"/>
    <w:rsid w:val="00C734A1"/>
    <w:rsid w:val="00C74226"/>
    <w:rsid w:val="00C74A0F"/>
    <w:rsid w:val="00C751A6"/>
    <w:rsid w:val="00C77C65"/>
    <w:rsid w:val="00C80B51"/>
    <w:rsid w:val="00C82511"/>
    <w:rsid w:val="00C9130D"/>
    <w:rsid w:val="00C91DED"/>
    <w:rsid w:val="00C920D3"/>
    <w:rsid w:val="00C92BFD"/>
    <w:rsid w:val="00C96DB1"/>
    <w:rsid w:val="00C97B7E"/>
    <w:rsid w:val="00CA0A9A"/>
    <w:rsid w:val="00CA3484"/>
    <w:rsid w:val="00CA524A"/>
    <w:rsid w:val="00CA58EB"/>
    <w:rsid w:val="00CA676D"/>
    <w:rsid w:val="00CB2616"/>
    <w:rsid w:val="00CB7F5F"/>
    <w:rsid w:val="00CC03E5"/>
    <w:rsid w:val="00CC3608"/>
    <w:rsid w:val="00CC4634"/>
    <w:rsid w:val="00CC628C"/>
    <w:rsid w:val="00CD2F05"/>
    <w:rsid w:val="00CD3F2D"/>
    <w:rsid w:val="00CD424F"/>
    <w:rsid w:val="00CD49A9"/>
    <w:rsid w:val="00CD6FB4"/>
    <w:rsid w:val="00CE548A"/>
    <w:rsid w:val="00CE6798"/>
    <w:rsid w:val="00CE689B"/>
    <w:rsid w:val="00CF1A68"/>
    <w:rsid w:val="00CF52ED"/>
    <w:rsid w:val="00CF5A59"/>
    <w:rsid w:val="00D01FE8"/>
    <w:rsid w:val="00D025D2"/>
    <w:rsid w:val="00D032C8"/>
    <w:rsid w:val="00D03F9F"/>
    <w:rsid w:val="00D05A8A"/>
    <w:rsid w:val="00D13661"/>
    <w:rsid w:val="00D13A71"/>
    <w:rsid w:val="00D2207E"/>
    <w:rsid w:val="00D247BB"/>
    <w:rsid w:val="00D2600E"/>
    <w:rsid w:val="00D26EA9"/>
    <w:rsid w:val="00D4006A"/>
    <w:rsid w:val="00D431A0"/>
    <w:rsid w:val="00D44751"/>
    <w:rsid w:val="00D456BF"/>
    <w:rsid w:val="00D539DC"/>
    <w:rsid w:val="00D61678"/>
    <w:rsid w:val="00D62A62"/>
    <w:rsid w:val="00D64405"/>
    <w:rsid w:val="00D65712"/>
    <w:rsid w:val="00D66C6F"/>
    <w:rsid w:val="00D7199F"/>
    <w:rsid w:val="00D72C9A"/>
    <w:rsid w:val="00D751ED"/>
    <w:rsid w:val="00D75AC3"/>
    <w:rsid w:val="00D76109"/>
    <w:rsid w:val="00D80F84"/>
    <w:rsid w:val="00D8192F"/>
    <w:rsid w:val="00D84A0A"/>
    <w:rsid w:val="00D85056"/>
    <w:rsid w:val="00D85233"/>
    <w:rsid w:val="00D87AC6"/>
    <w:rsid w:val="00D87D36"/>
    <w:rsid w:val="00D91C85"/>
    <w:rsid w:val="00D92E04"/>
    <w:rsid w:val="00D94229"/>
    <w:rsid w:val="00D9526A"/>
    <w:rsid w:val="00DA4546"/>
    <w:rsid w:val="00DA612F"/>
    <w:rsid w:val="00DB040C"/>
    <w:rsid w:val="00DB0F72"/>
    <w:rsid w:val="00DC0415"/>
    <w:rsid w:val="00DC19EC"/>
    <w:rsid w:val="00DC3878"/>
    <w:rsid w:val="00DC46B3"/>
    <w:rsid w:val="00DC46E5"/>
    <w:rsid w:val="00DC6C99"/>
    <w:rsid w:val="00DD0F8F"/>
    <w:rsid w:val="00DD13A8"/>
    <w:rsid w:val="00DD37FD"/>
    <w:rsid w:val="00DD4896"/>
    <w:rsid w:val="00DD4983"/>
    <w:rsid w:val="00DD6F10"/>
    <w:rsid w:val="00DE3B98"/>
    <w:rsid w:val="00DE4756"/>
    <w:rsid w:val="00DE7654"/>
    <w:rsid w:val="00DE7F88"/>
    <w:rsid w:val="00DF2BBA"/>
    <w:rsid w:val="00DF4234"/>
    <w:rsid w:val="00DF5A4A"/>
    <w:rsid w:val="00DF6825"/>
    <w:rsid w:val="00E047AC"/>
    <w:rsid w:val="00E0706E"/>
    <w:rsid w:val="00E07212"/>
    <w:rsid w:val="00E1488D"/>
    <w:rsid w:val="00E15601"/>
    <w:rsid w:val="00E1733D"/>
    <w:rsid w:val="00E17A4E"/>
    <w:rsid w:val="00E200CA"/>
    <w:rsid w:val="00E208E8"/>
    <w:rsid w:val="00E23AAC"/>
    <w:rsid w:val="00E2465D"/>
    <w:rsid w:val="00E25D7D"/>
    <w:rsid w:val="00E26B62"/>
    <w:rsid w:val="00E31A08"/>
    <w:rsid w:val="00E3407E"/>
    <w:rsid w:val="00E36155"/>
    <w:rsid w:val="00E37317"/>
    <w:rsid w:val="00E41992"/>
    <w:rsid w:val="00E41A17"/>
    <w:rsid w:val="00E41ECE"/>
    <w:rsid w:val="00E4202E"/>
    <w:rsid w:val="00E44B21"/>
    <w:rsid w:val="00E51647"/>
    <w:rsid w:val="00E56C77"/>
    <w:rsid w:val="00E63A1D"/>
    <w:rsid w:val="00E65957"/>
    <w:rsid w:val="00E66676"/>
    <w:rsid w:val="00E7588D"/>
    <w:rsid w:val="00E83630"/>
    <w:rsid w:val="00E85317"/>
    <w:rsid w:val="00E914CD"/>
    <w:rsid w:val="00E92F80"/>
    <w:rsid w:val="00EA00A7"/>
    <w:rsid w:val="00EA01C7"/>
    <w:rsid w:val="00EA2CB4"/>
    <w:rsid w:val="00EB2DA4"/>
    <w:rsid w:val="00EB2FCC"/>
    <w:rsid w:val="00EB3071"/>
    <w:rsid w:val="00EB3A37"/>
    <w:rsid w:val="00EC590D"/>
    <w:rsid w:val="00EC5B1C"/>
    <w:rsid w:val="00EC6380"/>
    <w:rsid w:val="00ED0883"/>
    <w:rsid w:val="00ED2E11"/>
    <w:rsid w:val="00ED4A12"/>
    <w:rsid w:val="00ED640E"/>
    <w:rsid w:val="00EE1177"/>
    <w:rsid w:val="00EE2433"/>
    <w:rsid w:val="00EE2F10"/>
    <w:rsid w:val="00EE3C85"/>
    <w:rsid w:val="00EE4EF9"/>
    <w:rsid w:val="00EE6485"/>
    <w:rsid w:val="00EF2472"/>
    <w:rsid w:val="00EF3296"/>
    <w:rsid w:val="00EF53BD"/>
    <w:rsid w:val="00EF7547"/>
    <w:rsid w:val="00F0479C"/>
    <w:rsid w:val="00F06836"/>
    <w:rsid w:val="00F109EB"/>
    <w:rsid w:val="00F1180C"/>
    <w:rsid w:val="00F20238"/>
    <w:rsid w:val="00F20AA6"/>
    <w:rsid w:val="00F23129"/>
    <w:rsid w:val="00F27EE0"/>
    <w:rsid w:val="00F313CD"/>
    <w:rsid w:val="00F37514"/>
    <w:rsid w:val="00F37916"/>
    <w:rsid w:val="00F4253A"/>
    <w:rsid w:val="00F42776"/>
    <w:rsid w:val="00F43F62"/>
    <w:rsid w:val="00F44296"/>
    <w:rsid w:val="00F469C6"/>
    <w:rsid w:val="00F51B3B"/>
    <w:rsid w:val="00F53E15"/>
    <w:rsid w:val="00F53E38"/>
    <w:rsid w:val="00F55E8B"/>
    <w:rsid w:val="00F57646"/>
    <w:rsid w:val="00F57B4A"/>
    <w:rsid w:val="00F65FF8"/>
    <w:rsid w:val="00F67292"/>
    <w:rsid w:val="00F70139"/>
    <w:rsid w:val="00F71B55"/>
    <w:rsid w:val="00F7459D"/>
    <w:rsid w:val="00F74F7D"/>
    <w:rsid w:val="00F7583C"/>
    <w:rsid w:val="00F7632D"/>
    <w:rsid w:val="00F838AF"/>
    <w:rsid w:val="00F86D66"/>
    <w:rsid w:val="00F86DD0"/>
    <w:rsid w:val="00F928B7"/>
    <w:rsid w:val="00F9311C"/>
    <w:rsid w:val="00F9392E"/>
    <w:rsid w:val="00F95A61"/>
    <w:rsid w:val="00F9660E"/>
    <w:rsid w:val="00F96698"/>
    <w:rsid w:val="00F96876"/>
    <w:rsid w:val="00FA2D1B"/>
    <w:rsid w:val="00FA3D59"/>
    <w:rsid w:val="00FA3FE8"/>
    <w:rsid w:val="00FA4136"/>
    <w:rsid w:val="00FA50EF"/>
    <w:rsid w:val="00FA5702"/>
    <w:rsid w:val="00FB7087"/>
    <w:rsid w:val="00FC2CDF"/>
    <w:rsid w:val="00FC396F"/>
    <w:rsid w:val="00FC543D"/>
    <w:rsid w:val="00FC57D7"/>
    <w:rsid w:val="00FC78A3"/>
    <w:rsid w:val="00FC7F35"/>
    <w:rsid w:val="00FD048B"/>
    <w:rsid w:val="00FD1A7B"/>
    <w:rsid w:val="00FD2FA0"/>
    <w:rsid w:val="00FD329D"/>
    <w:rsid w:val="00FD34DC"/>
    <w:rsid w:val="00FD381F"/>
    <w:rsid w:val="00FD4585"/>
    <w:rsid w:val="00FE07BF"/>
    <w:rsid w:val="00FE0C80"/>
    <w:rsid w:val="00FE1644"/>
    <w:rsid w:val="00FE306B"/>
    <w:rsid w:val="00FE52D3"/>
    <w:rsid w:val="00FF0405"/>
    <w:rsid w:val="00FF4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34A"/>
    <w:rPr>
      <w:rFonts w:ascii="Arial" w:hAnsi="Arial"/>
      <w:sz w:val="18"/>
      <w:szCs w:val="18"/>
      <w:lang w:eastAsia="en-US"/>
    </w:rPr>
  </w:style>
  <w:style w:type="paragraph" w:styleId="Heading1">
    <w:name w:val="heading 1"/>
    <w:basedOn w:val="Normal"/>
    <w:next w:val="Body"/>
    <w:link w:val="Heading1Char"/>
    <w:uiPriority w:val="99"/>
    <w:qFormat/>
    <w:rsid w:val="00F70139"/>
    <w:pPr>
      <w:keepNext/>
      <w:framePr w:w="5052" w:h="1264" w:wrap="notBeside" w:vAnchor="page" w:hAnchor="margin" w:y="2088"/>
      <w:spacing w:line="360" w:lineRule="exact"/>
      <w:outlineLvl w:val="0"/>
    </w:pPr>
    <w:rPr>
      <w:rFonts w:cs="Arial"/>
      <w:bCs/>
      <w:kern w:val="28"/>
      <w:sz w:val="30"/>
      <w:szCs w:val="30"/>
    </w:rPr>
  </w:style>
  <w:style w:type="paragraph" w:styleId="Heading2">
    <w:name w:val="heading 2"/>
    <w:basedOn w:val="Normal"/>
    <w:next w:val="Body"/>
    <w:link w:val="Heading2Char"/>
    <w:uiPriority w:val="99"/>
    <w:qFormat/>
    <w:rsid w:val="00F43F62"/>
    <w:pPr>
      <w:keepNext/>
      <w:spacing w:before="120" w:line="230" w:lineRule="exact"/>
      <w:outlineLvl w:val="1"/>
    </w:pPr>
    <w:rPr>
      <w:b/>
    </w:rPr>
  </w:style>
  <w:style w:type="paragraph" w:styleId="Heading3">
    <w:name w:val="heading 3"/>
    <w:basedOn w:val="Normal"/>
    <w:next w:val="Body"/>
    <w:link w:val="Heading3Char"/>
    <w:uiPriority w:val="99"/>
    <w:qFormat/>
    <w:rsid w:val="00F43F62"/>
    <w:pPr>
      <w:keepNext/>
      <w:spacing w:before="120" w:line="230" w:lineRule="exact"/>
      <w:outlineLvl w:val="2"/>
    </w:pPr>
  </w:style>
  <w:style w:type="paragraph" w:styleId="Heading4">
    <w:name w:val="heading 4"/>
    <w:basedOn w:val="Normal"/>
    <w:next w:val="Body"/>
    <w:link w:val="Heading4Char"/>
    <w:uiPriority w:val="99"/>
    <w:qFormat/>
    <w:rsid w:val="00F43F62"/>
    <w:pPr>
      <w:keepNext/>
      <w:spacing w:before="120" w:line="230" w:lineRule="exact"/>
      <w:outlineLvl w:val="3"/>
    </w:pPr>
  </w:style>
  <w:style w:type="paragraph" w:styleId="Heading5">
    <w:name w:val="heading 5"/>
    <w:basedOn w:val="Normal"/>
    <w:next w:val="Normal"/>
    <w:link w:val="Heading5Char"/>
    <w:uiPriority w:val="99"/>
    <w:qFormat/>
    <w:rsid w:val="002B7733"/>
    <w:pPr>
      <w:outlineLvl w:val="4"/>
    </w:pPr>
  </w:style>
  <w:style w:type="paragraph" w:styleId="Heading6">
    <w:name w:val="heading 6"/>
    <w:basedOn w:val="Normal"/>
    <w:next w:val="Normal"/>
    <w:link w:val="Heading6Char"/>
    <w:uiPriority w:val="99"/>
    <w:qFormat/>
    <w:rsid w:val="002B7733"/>
    <w:pPr>
      <w:outlineLvl w:val="5"/>
    </w:pPr>
  </w:style>
  <w:style w:type="paragraph" w:styleId="Heading7">
    <w:name w:val="heading 7"/>
    <w:basedOn w:val="Normal"/>
    <w:next w:val="Normal"/>
    <w:link w:val="Heading7Char"/>
    <w:uiPriority w:val="99"/>
    <w:qFormat/>
    <w:rsid w:val="002B7733"/>
    <w:pPr>
      <w:outlineLvl w:val="6"/>
    </w:pPr>
  </w:style>
  <w:style w:type="paragraph" w:styleId="Heading8">
    <w:name w:val="heading 8"/>
    <w:basedOn w:val="Normal"/>
    <w:next w:val="Normal"/>
    <w:link w:val="Heading8Char"/>
    <w:uiPriority w:val="99"/>
    <w:qFormat/>
    <w:rsid w:val="002B7733"/>
    <w:pPr>
      <w:outlineLvl w:val="7"/>
    </w:pPr>
  </w:style>
  <w:style w:type="paragraph" w:styleId="Heading9">
    <w:name w:val="heading 9"/>
    <w:basedOn w:val="Normal"/>
    <w:next w:val="Normal"/>
    <w:link w:val="Heading9Char"/>
    <w:uiPriority w:val="99"/>
    <w:qFormat/>
    <w:rsid w:val="002B773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519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9519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9519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9519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95192"/>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95192"/>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95192"/>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95192"/>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95192"/>
    <w:rPr>
      <w:rFonts w:ascii="Cambria" w:hAnsi="Cambria" w:cs="Times New Roman"/>
      <w:lang w:eastAsia="en-US"/>
    </w:rPr>
  </w:style>
  <w:style w:type="paragraph" w:styleId="BalloonText">
    <w:name w:val="Balloon Text"/>
    <w:basedOn w:val="Normal"/>
    <w:link w:val="BalloonTextChar"/>
    <w:uiPriority w:val="99"/>
    <w:rsid w:val="00495AD3"/>
    <w:rPr>
      <w:rFonts w:ascii="Tahoma" w:hAnsi="Tahoma" w:cs="Tahoma"/>
      <w:sz w:val="16"/>
      <w:szCs w:val="16"/>
    </w:rPr>
  </w:style>
  <w:style w:type="character" w:customStyle="1" w:styleId="BalloonTextChar">
    <w:name w:val="Balloon Text Char"/>
    <w:basedOn w:val="DefaultParagraphFont"/>
    <w:link w:val="BalloonText"/>
    <w:uiPriority w:val="99"/>
    <w:locked/>
    <w:rsid w:val="00495AD3"/>
    <w:rPr>
      <w:rFonts w:ascii="Tahoma" w:hAnsi="Tahoma" w:cs="Tahoma"/>
      <w:sz w:val="16"/>
      <w:szCs w:val="16"/>
      <w:lang w:eastAsia="en-US"/>
    </w:rPr>
  </w:style>
  <w:style w:type="paragraph" w:styleId="Header">
    <w:name w:val="header"/>
    <w:basedOn w:val="Normal"/>
    <w:link w:val="HeaderChar"/>
    <w:rsid w:val="00137704"/>
    <w:pPr>
      <w:tabs>
        <w:tab w:val="left" w:pos="3402"/>
        <w:tab w:val="right" w:pos="10291"/>
      </w:tabs>
      <w:spacing w:line="170" w:lineRule="atLeast"/>
    </w:pPr>
    <w:rPr>
      <w:sz w:val="14"/>
      <w:szCs w:val="14"/>
    </w:rPr>
  </w:style>
  <w:style w:type="character" w:customStyle="1" w:styleId="HeaderChar">
    <w:name w:val="Header Char"/>
    <w:basedOn w:val="DefaultParagraphFont"/>
    <w:link w:val="Header"/>
    <w:uiPriority w:val="99"/>
    <w:semiHidden/>
    <w:locked/>
    <w:rsid w:val="00495192"/>
    <w:rPr>
      <w:rFonts w:ascii="Arial" w:hAnsi="Arial" w:cs="Times New Roman"/>
      <w:sz w:val="18"/>
      <w:szCs w:val="18"/>
      <w:lang w:eastAsia="en-US"/>
    </w:rPr>
  </w:style>
  <w:style w:type="paragraph" w:styleId="Footer">
    <w:name w:val="footer"/>
    <w:basedOn w:val="Normal"/>
    <w:link w:val="FooterChar"/>
    <w:uiPriority w:val="99"/>
    <w:rsid w:val="0045713E"/>
    <w:pPr>
      <w:tabs>
        <w:tab w:val="center" w:pos="5148"/>
        <w:tab w:val="right" w:pos="10291"/>
      </w:tabs>
      <w:spacing w:line="170" w:lineRule="atLeast"/>
    </w:pPr>
    <w:rPr>
      <w:sz w:val="14"/>
      <w:szCs w:val="14"/>
    </w:rPr>
  </w:style>
  <w:style w:type="character" w:customStyle="1" w:styleId="FooterChar">
    <w:name w:val="Footer Char"/>
    <w:basedOn w:val="DefaultParagraphFont"/>
    <w:link w:val="Footer"/>
    <w:uiPriority w:val="99"/>
    <w:locked/>
    <w:rsid w:val="00554D3E"/>
    <w:rPr>
      <w:rFonts w:ascii="Arial" w:hAnsi="Arial" w:cs="Times New Roman"/>
      <w:sz w:val="14"/>
      <w:szCs w:val="14"/>
      <w:lang w:eastAsia="en-US"/>
    </w:rPr>
  </w:style>
  <w:style w:type="paragraph" w:styleId="TOC1">
    <w:name w:val="toc 1"/>
    <w:basedOn w:val="Normal"/>
    <w:next w:val="Normal"/>
    <w:uiPriority w:val="39"/>
    <w:rsid w:val="00004CB9"/>
    <w:pPr>
      <w:tabs>
        <w:tab w:val="left" w:pos="680"/>
        <w:tab w:val="right" w:leader="dot" w:pos="10291"/>
      </w:tabs>
      <w:spacing w:before="180"/>
      <w:ind w:left="680" w:right="170" w:hanging="680"/>
    </w:pPr>
    <w:rPr>
      <w:b/>
    </w:rPr>
  </w:style>
  <w:style w:type="paragraph" w:styleId="TOC2">
    <w:name w:val="toc 2"/>
    <w:basedOn w:val="Normal"/>
    <w:next w:val="Normal"/>
    <w:uiPriority w:val="39"/>
    <w:rsid w:val="00004CB9"/>
    <w:pPr>
      <w:tabs>
        <w:tab w:val="left" w:pos="680"/>
        <w:tab w:val="right" w:leader="dot" w:pos="10291"/>
      </w:tabs>
      <w:ind w:left="1360" w:right="170" w:hanging="680"/>
    </w:pPr>
  </w:style>
  <w:style w:type="paragraph" w:styleId="TOC3">
    <w:name w:val="toc 3"/>
    <w:basedOn w:val="Normal"/>
    <w:next w:val="Normal"/>
    <w:uiPriority w:val="99"/>
    <w:semiHidden/>
    <w:rsid w:val="00004CB9"/>
    <w:pPr>
      <w:tabs>
        <w:tab w:val="left" w:pos="680"/>
        <w:tab w:val="right" w:leader="dot" w:pos="10291"/>
      </w:tabs>
      <w:ind w:left="1360" w:right="170" w:hanging="680"/>
    </w:pPr>
  </w:style>
  <w:style w:type="paragraph" w:styleId="TOC4">
    <w:name w:val="toc 4"/>
    <w:basedOn w:val="Normal"/>
    <w:next w:val="Normal"/>
    <w:uiPriority w:val="99"/>
    <w:semiHidden/>
    <w:rsid w:val="002B7733"/>
    <w:pPr>
      <w:ind w:left="510"/>
    </w:pPr>
  </w:style>
  <w:style w:type="paragraph" w:styleId="TOC5">
    <w:name w:val="toc 5"/>
    <w:basedOn w:val="Normal"/>
    <w:next w:val="Normal"/>
    <w:uiPriority w:val="99"/>
    <w:semiHidden/>
    <w:rsid w:val="002B7733"/>
    <w:pPr>
      <w:ind w:left="680"/>
    </w:pPr>
  </w:style>
  <w:style w:type="paragraph" w:styleId="TOC6">
    <w:name w:val="toc 6"/>
    <w:basedOn w:val="Normal"/>
    <w:next w:val="Normal"/>
    <w:uiPriority w:val="99"/>
    <w:semiHidden/>
    <w:rsid w:val="002B7733"/>
    <w:pPr>
      <w:ind w:left="850"/>
    </w:pPr>
  </w:style>
  <w:style w:type="paragraph" w:styleId="TOC7">
    <w:name w:val="toc 7"/>
    <w:basedOn w:val="Normal"/>
    <w:next w:val="Normal"/>
    <w:uiPriority w:val="99"/>
    <w:semiHidden/>
    <w:rsid w:val="002B7733"/>
    <w:pPr>
      <w:ind w:left="1020"/>
    </w:pPr>
  </w:style>
  <w:style w:type="paragraph" w:styleId="TOC8">
    <w:name w:val="toc 8"/>
    <w:basedOn w:val="Normal"/>
    <w:next w:val="Normal"/>
    <w:uiPriority w:val="99"/>
    <w:semiHidden/>
    <w:rsid w:val="002B7733"/>
    <w:pPr>
      <w:ind w:left="1190"/>
    </w:pPr>
  </w:style>
  <w:style w:type="paragraph" w:styleId="TOC9">
    <w:name w:val="toc 9"/>
    <w:basedOn w:val="Normal"/>
    <w:next w:val="Normal"/>
    <w:uiPriority w:val="99"/>
    <w:semiHidden/>
    <w:rsid w:val="002B7733"/>
    <w:pPr>
      <w:ind w:left="1360"/>
    </w:pPr>
  </w:style>
  <w:style w:type="character" w:styleId="PageNumber">
    <w:name w:val="page number"/>
    <w:basedOn w:val="DefaultParagraphFont"/>
    <w:rsid w:val="002B7733"/>
    <w:rPr>
      <w:rFonts w:cs="Times New Roman"/>
    </w:rPr>
  </w:style>
  <w:style w:type="paragraph" w:customStyle="1" w:styleId="SecDivider0">
    <w:name w:val="_SecDivider"/>
    <w:basedOn w:val="Normal"/>
    <w:next w:val="Body"/>
    <w:uiPriority w:val="99"/>
    <w:rsid w:val="00050585"/>
    <w:pPr>
      <w:keepNext/>
      <w:shd w:val="clear" w:color="FFFFFF" w:fill="auto"/>
      <w:spacing w:after="360" w:line="360" w:lineRule="exact"/>
    </w:pPr>
    <w:rPr>
      <w:b/>
      <w:sz w:val="30"/>
      <w:szCs w:val="30"/>
    </w:rPr>
  </w:style>
  <w:style w:type="paragraph" w:customStyle="1" w:styleId="SecDivider">
    <w:name w:val="_SecDivider#"/>
    <w:basedOn w:val="SecDivider0"/>
    <w:next w:val="Body"/>
    <w:uiPriority w:val="99"/>
    <w:rsid w:val="002B7733"/>
    <w:pPr>
      <w:numPr>
        <w:numId w:val="9"/>
      </w:numPr>
      <w:tabs>
        <w:tab w:val="clear" w:pos="567"/>
        <w:tab w:val="left" w:pos="680"/>
      </w:tabs>
      <w:ind w:left="680" w:hanging="680"/>
    </w:pPr>
  </w:style>
  <w:style w:type="character" w:styleId="Hyperlink">
    <w:name w:val="Hyperlink"/>
    <w:basedOn w:val="DefaultParagraphFont"/>
    <w:uiPriority w:val="99"/>
    <w:rsid w:val="002B7733"/>
    <w:rPr>
      <w:rFonts w:cs="Times New Roman"/>
      <w:color w:val="0000FF"/>
      <w:u w:val="single"/>
    </w:rPr>
  </w:style>
  <w:style w:type="paragraph" w:customStyle="1" w:styleId="Hdg1">
    <w:name w:val="_Hdg1#"/>
    <w:basedOn w:val="Heading1"/>
    <w:next w:val="Body"/>
    <w:uiPriority w:val="99"/>
    <w:rsid w:val="002B7733"/>
    <w:pPr>
      <w:framePr w:wrap="notBeside"/>
      <w:tabs>
        <w:tab w:val="num" w:pos="680"/>
      </w:tabs>
      <w:ind w:left="680" w:hanging="680"/>
    </w:pPr>
  </w:style>
  <w:style w:type="paragraph" w:customStyle="1" w:styleId="Hdg2">
    <w:name w:val="_Hdg2#"/>
    <w:basedOn w:val="Heading2"/>
    <w:next w:val="Body"/>
    <w:uiPriority w:val="99"/>
    <w:rsid w:val="002B7733"/>
    <w:pPr>
      <w:numPr>
        <w:ilvl w:val="1"/>
        <w:numId w:val="4"/>
      </w:numPr>
      <w:tabs>
        <w:tab w:val="clear" w:pos="643"/>
        <w:tab w:val="num" w:pos="720"/>
      </w:tabs>
      <w:ind w:left="680" w:hanging="680"/>
    </w:pPr>
  </w:style>
  <w:style w:type="paragraph" w:customStyle="1" w:styleId="Hdg3">
    <w:name w:val="_Hdg3#"/>
    <w:basedOn w:val="Heading3"/>
    <w:next w:val="Body"/>
    <w:uiPriority w:val="99"/>
    <w:rsid w:val="002B7733"/>
    <w:pPr>
      <w:numPr>
        <w:ilvl w:val="2"/>
        <w:numId w:val="4"/>
      </w:numPr>
      <w:tabs>
        <w:tab w:val="clear" w:pos="643"/>
        <w:tab w:val="num" w:pos="1440"/>
      </w:tabs>
      <w:ind w:left="680" w:hanging="680"/>
    </w:pPr>
  </w:style>
  <w:style w:type="paragraph" w:customStyle="1" w:styleId="Hdg1noTOC">
    <w:name w:val="_Hdg1 noTOC"/>
    <w:basedOn w:val="Heading1"/>
    <w:next w:val="Body"/>
    <w:uiPriority w:val="99"/>
    <w:rsid w:val="002B7733"/>
    <w:pPr>
      <w:framePr w:wrap="notBeside"/>
      <w:outlineLvl w:val="9"/>
    </w:pPr>
  </w:style>
  <w:style w:type="paragraph" w:customStyle="1" w:styleId="Hdg1noTOC0">
    <w:name w:val="_Hdg1# noTOC"/>
    <w:basedOn w:val="Hdg1"/>
    <w:next w:val="Body"/>
    <w:uiPriority w:val="99"/>
    <w:rsid w:val="002B7733"/>
    <w:pPr>
      <w:framePr w:wrap="notBeside"/>
      <w:outlineLvl w:val="9"/>
    </w:pPr>
  </w:style>
  <w:style w:type="paragraph" w:customStyle="1" w:styleId="Hdg4">
    <w:name w:val="_Hdg4#"/>
    <w:basedOn w:val="Heading4"/>
    <w:next w:val="Body"/>
    <w:uiPriority w:val="99"/>
    <w:rsid w:val="002B7733"/>
    <w:pPr>
      <w:numPr>
        <w:ilvl w:val="3"/>
        <w:numId w:val="4"/>
      </w:numPr>
      <w:tabs>
        <w:tab w:val="clear" w:pos="643"/>
        <w:tab w:val="left" w:pos="680"/>
      </w:tabs>
      <w:ind w:left="680" w:hanging="680"/>
    </w:pPr>
  </w:style>
  <w:style w:type="paragraph" w:styleId="TableofFigures">
    <w:name w:val="table of figures"/>
    <w:basedOn w:val="Normal"/>
    <w:next w:val="Normal"/>
    <w:uiPriority w:val="99"/>
    <w:rsid w:val="002B7733"/>
    <w:pPr>
      <w:ind w:left="680" w:hanging="680"/>
    </w:pPr>
  </w:style>
  <w:style w:type="paragraph" w:customStyle="1" w:styleId="BulletLevel1">
    <w:name w:val="Bullet Level1"/>
    <w:basedOn w:val="Normal"/>
    <w:uiPriority w:val="99"/>
    <w:rsid w:val="00B4463D"/>
    <w:pPr>
      <w:numPr>
        <w:numId w:val="11"/>
      </w:numPr>
      <w:spacing w:line="230" w:lineRule="atLeast"/>
    </w:pPr>
  </w:style>
  <w:style w:type="paragraph" w:customStyle="1" w:styleId="BulletLevel2">
    <w:name w:val="Bullet Level2"/>
    <w:basedOn w:val="Normal"/>
    <w:uiPriority w:val="99"/>
    <w:rsid w:val="00B4463D"/>
    <w:pPr>
      <w:numPr>
        <w:numId w:val="12"/>
      </w:numPr>
      <w:spacing w:line="230" w:lineRule="atLeast"/>
    </w:pPr>
  </w:style>
  <w:style w:type="paragraph" w:customStyle="1" w:styleId="CVHeading">
    <w:name w:val="CV Heading"/>
    <w:basedOn w:val="Heading1"/>
    <w:next w:val="Body"/>
    <w:uiPriority w:val="99"/>
    <w:rsid w:val="002B7733"/>
    <w:pPr>
      <w:framePr w:wrap="notBeside"/>
      <w:outlineLvl w:val="9"/>
    </w:pPr>
  </w:style>
  <w:style w:type="paragraph" w:styleId="Caption">
    <w:name w:val="caption"/>
    <w:basedOn w:val="Normal"/>
    <w:next w:val="Body"/>
    <w:uiPriority w:val="99"/>
    <w:qFormat/>
    <w:rsid w:val="002B7733"/>
    <w:pPr>
      <w:spacing w:before="120"/>
    </w:pPr>
    <w:rPr>
      <w:bCs/>
    </w:rPr>
  </w:style>
  <w:style w:type="paragraph" w:customStyle="1" w:styleId="Hdg2noTOC">
    <w:name w:val="_Hdg2 noTOC"/>
    <w:basedOn w:val="Heading2"/>
    <w:next w:val="Body"/>
    <w:uiPriority w:val="99"/>
    <w:rsid w:val="002B7733"/>
    <w:pPr>
      <w:outlineLvl w:val="9"/>
    </w:pPr>
  </w:style>
  <w:style w:type="paragraph" w:customStyle="1" w:styleId="Hdg2noTOC0">
    <w:name w:val="_Hdg2# noTOC"/>
    <w:basedOn w:val="Hdg2"/>
    <w:next w:val="Body"/>
    <w:uiPriority w:val="99"/>
    <w:rsid w:val="002B7733"/>
    <w:pPr>
      <w:outlineLvl w:val="9"/>
    </w:pPr>
  </w:style>
  <w:style w:type="table" w:styleId="TableGrid">
    <w:name w:val="Table Grid"/>
    <w:basedOn w:val="TableNormal"/>
    <w:uiPriority w:val="99"/>
    <w:semiHidden/>
    <w:rsid w:val="00FE07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uiPriority w:val="99"/>
    <w:rsid w:val="002B7733"/>
    <w:pPr>
      <w:spacing w:after="120" w:line="240" w:lineRule="atLeast"/>
    </w:pPr>
  </w:style>
  <w:style w:type="paragraph" w:customStyle="1" w:styleId="DocTitle">
    <w:name w:val="DocTitle"/>
    <w:basedOn w:val="Normal"/>
    <w:next w:val="Normal"/>
    <w:uiPriority w:val="99"/>
    <w:rsid w:val="00DC3878"/>
    <w:pPr>
      <w:spacing w:line="840" w:lineRule="exact"/>
    </w:pPr>
    <w:rPr>
      <w:bCs/>
      <w:sz w:val="78"/>
    </w:rPr>
  </w:style>
  <w:style w:type="paragraph" w:customStyle="1" w:styleId="Para2">
    <w:name w:val="_Para2#"/>
    <w:basedOn w:val="Hdg2"/>
    <w:uiPriority w:val="99"/>
    <w:rsid w:val="002B7733"/>
    <w:pPr>
      <w:keepNext w:val="0"/>
      <w:spacing w:before="0" w:after="120"/>
      <w:outlineLvl w:val="9"/>
    </w:pPr>
    <w:rPr>
      <w:b w:val="0"/>
    </w:rPr>
  </w:style>
  <w:style w:type="paragraph" w:customStyle="1" w:styleId="Para3">
    <w:name w:val="_Para3#"/>
    <w:basedOn w:val="Hdg3"/>
    <w:uiPriority w:val="99"/>
    <w:rsid w:val="002B7733"/>
    <w:pPr>
      <w:keepNext w:val="0"/>
      <w:tabs>
        <w:tab w:val="clear" w:pos="1440"/>
        <w:tab w:val="num" w:pos="643"/>
      </w:tabs>
      <w:spacing w:before="0" w:after="120"/>
      <w:ind w:left="643" w:hanging="360"/>
      <w:outlineLvl w:val="9"/>
    </w:pPr>
    <w:rPr>
      <w:i/>
    </w:rPr>
  </w:style>
  <w:style w:type="paragraph" w:customStyle="1" w:styleId="Para4">
    <w:name w:val="_Para4#"/>
    <w:basedOn w:val="Hdg4"/>
    <w:uiPriority w:val="99"/>
    <w:rsid w:val="002B7733"/>
    <w:pPr>
      <w:keepNext w:val="0"/>
      <w:spacing w:before="0" w:after="120"/>
      <w:outlineLvl w:val="9"/>
    </w:pPr>
  </w:style>
  <w:style w:type="paragraph" w:customStyle="1" w:styleId="SecDividerBody">
    <w:name w:val="_SecDividerBody"/>
    <w:basedOn w:val="Normal"/>
    <w:uiPriority w:val="99"/>
    <w:rsid w:val="0006666D"/>
    <w:pPr>
      <w:spacing w:after="120" w:line="360" w:lineRule="exact"/>
    </w:pPr>
    <w:rPr>
      <w:sz w:val="30"/>
      <w:szCs w:val="30"/>
    </w:rPr>
  </w:style>
  <w:style w:type="paragraph" w:styleId="ListParagraph">
    <w:name w:val="List Paragraph"/>
    <w:basedOn w:val="Normal"/>
    <w:uiPriority w:val="99"/>
    <w:qFormat/>
    <w:rsid w:val="004E69FA"/>
    <w:pPr>
      <w:spacing w:line="264" w:lineRule="auto"/>
      <w:ind w:left="720"/>
      <w:jc w:val="both"/>
    </w:pPr>
    <w:rPr>
      <w:rFonts w:cs="Arial"/>
      <w:sz w:val="20"/>
      <w:szCs w:val="20"/>
    </w:rPr>
  </w:style>
  <w:style w:type="character" w:styleId="CommentReference">
    <w:name w:val="annotation reference"/>
    <w:basedOn w:val="DefaultParagraphFont"/>
    <w:uiPriority w:val="99"/>
    <w:rsid w:val="00711FB4"/>
    <w:rPr>
      <w:rFonts w:cs="Times New Roman"/>
      <w:sz w:val="16"/>
      <w:szCs w:val="16"/>
    </w:rPr>
  </w:style>
  <w:style w:type="paragraph" w:styleId="CommentText">
    <w:name w:val="annotation text"/>
    <w:basedOn w:val="Normal"/>
    <w:link w:val="CommentTextChar"/>
    <w:uiPriority w:val="99"/>
    <w:rsid w:val="00711FB4"/>
    <w:rPr>
      <w:sz w:val="20"/>
      <w:szCs w:val="20"/>
    </w:rPr>
  </w:style>
  <w:style w:type="character" w:customStyle="1" w:styleId="CommentTextChar">
    <w:name w:val="Comment Text Char"/>
    <w:basedOn w:val="DefaultParagraphFont"/>
    <w:link w:val="CommentText"/>
    <w:uiPriority w:val="99"/>
    <w:locked/>
    <w:rsid w:val="00711FB4"/>
    <w:rPr>
      <w:rFonts w:ascii="Arial" w:hAnsi="Arial" w:cs="Times New Roman"/>
      <w:lang w:eastAsia="en-US"/>
    </w:rPr>
  </w:style>
  <w:style w:type="paragraph" w:styleId="CommentSubject">
    <w:name w:val="annotation subject"/>
    <w:basedOn w:val="CommentText"/>
    <w:next w:val="CommentText"/>
    <w:link w:val="CommentSubjectChar"/>
    <w:uiPriority w:val="99"/>
    <w:rsid w:val="00711FB4"/>
    <w:rPr>
      <w:b/>
      <w:bCs/>
    </w:rPr>
  </w:style>
  <w:style w:type="character" w:customStyle="1" w:styleId="CommentSubjectChar">
    <w:name w:val="Comment Subject Char"/>
    <w:basedOn w:val="CommentTextChar"/>
    <w:link w:val="CommentSubject"/>
    <w:uiPriority w:val="99"/>
    <w:locked/>
    <w:rsid w:val="00711FB4"/>
    <w:rPr>
      <w:b/>
      <w:bCs/>
    </w:rPr>
  </w:style>
  <w:style w:type="paragraph" w:styleId="FootnoteText">
    <w:name w:val="footnote text"/>
    <w:basedOn w:val="Normal"/>
    <w:link w:val="FootnoteTextChar"/>
    <w:uiPriority w:val="99"/>
    <w:rsid w:val="00ED0883"/>
    <w:rPr>
      <w:sz w:val="20"/>
      <w:szCs w:val="20"/>
    </w:rPr>
  </w:style>
  <w:style w:type="character" w:customStyle="1" w:styleId="FootnoteTextChar">
    <w:name w:val="Footnote Text Char"/>
    <w:basedOn w:val="DefaultParagraphFont"/>
    <w:link w:val="FootnoteText"/>
    <w:uiPriority w:val="99"/>
    <w:locked/>
    <w:rsid w:val="00ED0883"/>
    <w:rPr>
      <w:rFonts w:ascii="Arial" w:hAnsi="Arial" w:cs="Times New Roman"/>
      <w:lang w:eastAsia="en-US"/>
    </w:rPr>
  </w:style>
  <w:style w:type="character" w:styleId="FootnoteReference">
    <w:name w:val="footnote reference"/>
    <w:basedOn w:val="DefaultParagraphFont"/>
    <w:uiPriority w:val="99"/>
    <w:rsid w:val="00ED0883"/>
    <w:rPr>
      <w:rFonts w:cs="Times New Roman"/>
      <w:vertAlign w:val="superscript"/>
    </w:rPr>
  </w:style>
  <w:style w:type="paragraph" w:styleId="ListBullet5">
    <w:name w:val="List Bullet 5"/>
    <w:basedOn w:val="Normal"/>
    <w:autoRedefine/>
    <w:uiPriority w:val="99"/>
    <w:rsid w:val="005D281F"/>
    <w:pPr>
      <w:tabs>
        <w:tab w:val="num" w:pos="1492"/>
      </w:tabs>
      <w:spacing w:line="264" w:lineRule="auto"/>
      <w:ind w:left="1492" w:hanging="360"/>
      <w:jc w:val="both"/>
    </w:pPr>
    <w:rPr>
      <w:sz w:val="20"/>
      <w:szCs w:val="20"/>
    </w:rPr>
  </w:style>
  <w:style w:type="character" w:customStyle="1" w:styleId="BodyChar">
    <w:name w:val="Body Char"/>
    <w:basedOn w:val="DefaultParagraphFont"/>
    <w:link w:val="Body"/>
    <w:uiPriority w:val="99"/>
    <w:locked/>
    <w:rsid w:val="005D281F"/>
    <w:rPr>
      <w:rFonts w:ascii="Arial" w:hAnsi="Arial" w:cs="Times New Roman"/>
      <w:sz w:val="18"/>
      <w:szCs w:val="18"/>
      <w:lang w:eastAsia="en-US"/>
    </w:rPr>
  </w:style>
  <w:style w:type="paragraph" w:customStyle="1" w:styleId="Heading30">
    <w:name w:val="_Heading3"/>
    <w:basedOn w:val="Heading3"/>
    <w:next w:val="Normal"/>
    <w:link w:val="Heading3Char0"/>
    <w:uiPriority w:val="99"/>
    <w:rsid w:val="00B4386E"/>
    <w:pPr>
      <w:keepNext w:val="0"/>
      <w:tabs>
        <w:tab w:val="num" w:pos="1134"/>
        <w:tab w:val="num" w:pos="1492"/>
        <w:tab w:val="num" w:pos="2160"/>
      </w:tabs>
      <w:spacing w:before="240" w:after="240" w:line="260" w:lineRule="atLeast"/>
      <w:ind w:left="1134" w:hanging="1134"/>
    </w:pPr>
    <w:rPr>
      <w:rFonts w:cs="Arial"/>
      <w:sz w:val="22"/>
      <w:szCs w:val="20"/>
    </w:rPr>
  </w:style>
  <w:style w:type="character" w:customStyle="1" w:styleId="Heading3Char0">
    <w:name w:val="_Heading3 Char"/>
    <w:basedOn w:val="DefaultParagraphFont"/>
    <w:link w:val="Heading30"/>
    <w:uiPriority w:val="99"/>
    <w:locked/>
    <w:rsid w:val="00B4386E"/>
    <w:rPr>
      <w:rFonts w:ascii="Arial" w:hAnsi="Arial" w:cs="Arial"/>
      <w:sz w:val="22"/>
      <w:lang w:eastAsia="en-US"/>
    </w:rPr>
  </w:style>
  <w:style w:type="paragraph" w:styleId="ListBullet2">
    <w:name w:val="List Bullet 2"/>
    <w:basedOn w:val="Normal"/>
    <w:autoRedefine/>
    <w:uiPriority w:val="99"/>
    <w:rsid w:val="000B6F7D"/>
    <w:pPr>
      <w:numPr>
        <w:numId w:val="10"/>
      </w:numPr>
      <w:tabs>
        <w:tab w:val="clear" w:pos="680"/>
        <w:tab w:val="num" w:pos="643"/>
      </w:tabs>
      <w:spacing w:line="264" w:lineRule="auto"/>
      <w:ind w:left="643" w:hanging="360"/>
      <w:jc w:val="both"/>
    </w:pPr>
    <w:rPr>
      <w:rFonts w:cs="Arial"/>
      <w:sz w:val="20"/>
      <w:szCs w:val="20"/>
    </w:rPr>
  </w:style>
  <w:style w:type="character" w:styleId="HTMLCite">
    <w:name w:val="HTML Cite"/>
    <w:basedOn w:val="DefaultParagraphFont"/>
    <w:uiPriority w:val="99"/>
    <w:rsid w:val="004416B8"/>
    <w:rPr>
      <w:rFonts w:cs="Times New Roman"/>
      <w:i/>
      <w:iCs/>
    </w:rPr>
  </w:style>
  <w:style w:type="character" w:styleId="HTMLCode">
    <w:name w:val="HTML Code"/>
    <w:basedOn w:val="DefaultParagraphFont"/>
    <w:uiPriority w:val="99"/>
    <w:rsid w:val="00D94229"/>
    <w:rPr>
      <w:rFonts w:ascii="Courier New" w:hAnsi="Courier New" w:cs="Times New Roman"/>
      <w:sz w:val="20"/>
      <w:szCs w:val="20"/>
    </w:rPr>
  </w:style>
  <w:style w:type="paragraph" w:styleId="HTMLAddress">
    <w:name w:val="HTML Address"/>
    <w:basedOn w:val="Normal"/>
    <w:link w:val="HTMLAddressChar"/>
    <w:uiPriority w:val="99"/>
    <w:rsid w:val="00D8192F"/>
    <w:pPr>
      <w:spacing w:line="264" w:lineRule="auto"/>
      <w:jc w:val="both"/>
    </w:pPr>
    <w:rPr>
      <w:i/>
      <w:iCs/>
      <w:sz w:val="20"/>
      <w:szCs w:val="20"/>
    </w:rPr>
  </w:style>
  <w:style w:type="character" w:customStyle="1" w:styleId="HTMLAddressChar">
    <w:name w:val="HTML Address Char"/>
    <w:basedOn w:val="DefaultParagraphFont"/>
    <w:link w:val="HTMLAddress"/>
    <w:uiPriority w:val="99"/>
    <w:locked/>
    <w:rsid w:val="00D8192F"/>
    <w:rPr>
      <w:rFonts w:ascii="Arial" w:hAnsi="Arial" w:cs="Times New Roman"/>
      <w:i/>
      <w:iCs/>
      <w:lang w:eastAsia="en-US"/>
    </w:rPr>
  </w:style>
  <w:style w:type="paragraph" w:customStyle="1" w:styleId="StylePara311ptNotItalic">
    <w:name w:val="Style _Para3# + 11 pt Not Italic"/>
    <w:basedOn w:val="Normal"/>
    <w:uiPriority w:val="99"/>
    <w:rsid w:val="00AA45CD"/>
    <w:pPr>
      <w:tabs>
        <w:tab w:val="num" w:pos="1440"/>
      </w:tabs>
      <w:spacing w:after="120" w:line="230" w:lineRule="exact"/>
      <w:ind w:left="680" w:hanging="680"/>
    </w:pPr>
    <w:rPr>
      <w:sz w:val="20"/>
    </w:rPr>
  </w:style>
  <w:style w:type="paragraph" w:styleId="DocumentMap">
    <w:name w:val="Document Map"/>
    <w:basedOn w:val="Normal"/>
    <w:link w:val="DocumentMapChar"/>
    <w:uiPriority w:val="99"/>
    <w:semiHidden/>
    <w:rsid w:val="000C4AF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95192"/>
    <w:rPr>
      <w:rFonts w:cs="Times New Roman"/>
      <w:sz w:val="2"/>
      <w:lang w:eastAsia="en-US"/>
    </w:rPr>
  </w:style>
  <w:style w:type="paragraph" w:styleId="Revision">
    <w:name w:val="Revision"/>
    <w:hidden/>
    <w:uiPriority w:val="99"/>
    <w:semiHidden/>
    <w:rsid w:val="00FE52D3"/>
    <w:rPr>
      <w:rFonts w:ascii="Arial" w:hAnsi="Arial"/>
      <w:sz w:val="18"/>
      <w:szCs w:val="18"/>
      <w:lang w:eastAsia="en-US"/>
    </w:rPr>
  </w:style>
  <w:style w:type="character" w:styleId="FollowedHyperlink">
    <w:name w:val="FollowedHyperlink"/>
    <w:basedOn w:val="DefaultParagraphFont"/>
    <w:uiPriority w:val="99"/>
    <w:rsid w:val="00963204"/>
    <w:rPr>
      <w:rFonts w:cs="Times New Roman"/>
      <w:color w:val="800080"/>
      <w:u w:val="single"/>
    </w:rPr>
  </w:style>
  <w:style w:type="paragraph" w:customStyle="1" w:styleId="font5">
    <w:name w:val="font5"/>
    <w:basedOn w:val="Normal"/>
    <w:uiPriority w:val="99"/>
    <w:rsid w:val="00963204"/>
    <w:pPr>
      <w:spacing w:before="100" w:beforeAutospacing="1" w:after="100" w:afterAutospacing="1"/>
    </w:pPr>
    <w:rPr>
      <w:rFonts w:cs="Arial"/>
      <w:b/>
      <w:bCs/>
      <w:lang w:eastAsia="en-GB"/>
    </w:rPr>
  </w:style>
  <w:style w:type="paragraph" w:customStyle="1" w:styleId="font6">
    <w:name w:val="font6"/>
    <w:basedOn w:val="Normal"/>
    <w:uiPriority w:val="99"/>
    <w:rsid w:val="00963204"/>
    <w:pPr>
      <w:spacing w:before="100" w:beforeAutospacing="1" w:after="100" w:afterAutospacing="1"/>
    </w:pPr>
    <w:rPr>
      <w:rFonts w:cs="Arial"/>
      <w:lang w:eastAsia="en-GB"/>
    </w:rPr>
  </w:style>
  <w:style w:type="paragraph" w:customStyle="1" w:styleId="font7">
    <w:name w:val="font7"/>
    <w:basedOn w:val="Normal"/>
    <w:uiPriority w:val="99"/>
    <w:rsid w:val="00963204"/>
    <w:pPr>
      <w:spacing w:before="100" w:beforeAutospacing="1" w:after="100" w:afterAutospacing="1"/>
    </w:pPr>
    <w:rPr>
      <w:rFonts w:cs="Arial"/>
      <w:i/>
      <w:iCs/>
      <w:lang w:eastAsia="en-GB"/>
    </w:rPr>
  </w:style>
  <w:style w:type="paragraph" w:customStyle="1" w:styleId="xl65">
    <w:name w:val="xl65"/>
    <w:basedOn w:val="Normal"/>
    <w:uiPriority w:val="99"/>
    <w:rsid w:val="009632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lang w:eastAsia="en-GB"/>
    </w:rPr>
  </w:style>
  <w:style w:type="paragraph" w:customStyle="1" w:styleId="xl66">
    <w:name w:val="xl66"/>
    <w:basedOn w:val="Normal"/>
    <w:uiPriority w:val="99"/>
    <w:rsid w:val="009632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lang w:eastAsia="en-GB"/>
    </w:rPr>
  </w:style>
  <w:style w:type="paragraph" w:customStyle="1" w:styleId="xl67">
    <w:name w:val="xl67"/>
    <w:basedOn w:val="Normal"/>
    <w:uiPriority w:val="99"/>
    <w:rsid w:val="00963204"/>
    <w:pPr>
      <w:spacing w:before="100" w:beforeAutospacing="1" w:after="100" w:afterAutospacing="1"/>
      <w:textAlignment w:val="center"/>
    </w:pPr>
    <w:rPr>
      <w:rFonts w:cs="Arial"/>
      <w:lang w:eastAsia="en-GB"/>
    </w:rPr>
  </w:style>
  <w:style w:type="paragraph" w:customStyle="1" w:styleId="xl68">
    <w:name w:val="xl68"/>
    <w:basedOn w:val="Normal"/>
    <w:uiPriority w:val="99"/>
    <w:rsid w:val="00963204"/>
    <w:pPr>
      <w:spacing w:before="100" w:beforeAutospacing="1" w:after="100" w:afterAutospacing="1"/>
      <w:textAlignment w:val="center"/>
    </w:pPr>
    <w:rPr>
      <w:rFonts w:cs="Arial"/>
      <w:i/>
      <w:iCs/>
      <w:lang w:eastAsia="en-GB"/>
    </w:rPr>
  </w:style>
  <w:style w:type="paragraph" w:customStyle="1" w:styleId="xl69">
    <w:name w:val="xl69"/>
    <w:basedOn w:val="Normal"/>
    <w:uiPriority w:val="99"/>
    <w:rsid w:val="00963204"/>
    <w:pPr>
      <w:spacing w:before="100" w:beforeAutospacing="1" w:after="100" w:afterAutospacing="1"/>
      <w:textAlignment w:val="center"/>
    </w:pPr>
    <w:rPr>
      <w:rFonts w:cs="Arial"/>
      <w:b/>
      <w:bCs/>
      <w:lang w:eastAsia="en-GB"/>
    </w:rPr>
  </w:style>
  <w:style w:type="paragraph" w:customStyle="1" w:styleId="xl70">
    <w:name w:val="xl70"/>
    <w:basedOn w:val="Normal"/>
    <w:uiPriority w:val="99"/>
    <w:rsid w:val="009632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lang w:eastAsia="en-GB"/>
    </w:rPr>
  </w:style>
  <w:style w:type="paragraph" w:customStyle="1" w:styleId="xl71">
    <w:name w:val="xl71"/>
    <w:basedOn w:val="Normal"/>
    <w:uiPriority w:val="99"/>
    <w:rsid w:val="00963204"/>
    <w:pPr>
      <w:spacing w:before="100" w:beforeAutospacing="1" w:after="100" w:afterAutospacing="1"/>
      <w:textAlignment w:val="center"/>
    </w:pPr>
    <w:rPr>
      <w:rFonts w:cs="Arial"/>
      <w:b/>
      <w:bCs/>
      <w:lang w:eastAsia="en-GB"/>
    </w:rPr>
  </w:style>
  <w:style w:type="paragraph" w:customStyle="1" w:styleId="xl72">
    <w:name w:val="xl72"/>
    <w:basedOn w:val="Normal"/>
    <w:uiPriority w:val="99"/>
    <w:rsid w:val="009632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lang w:eastAsia="en-GB"/>
    </w:rPr>
  </w:style>
  <w:style w:type="paragraph" w:customStyle="1" w:styleId="xl73">
    <w:name w:val="xl73"/>
    <w:basedOn w:val="Normal"/>
    <w:uiPriority w:val="99"/>
    <w:rsid w:val="00963204"/>
    <w:pPr>
      <w:pBdr>
        <w:top w:val="single" w:sz="4" w:space="0" w:color="auto"/>
        <w:bottom w:val="single" w:sz="4" w:space="0" w:color="auto"/>
      </w:pBdr>
      <w:spacing w:before="100" w:beforeAutospacing="1" w:after="100" w:afterAutospacing="1"/>
      <w:textAlignment w:val="center"/>
    </w:pPr>
    <w:rPr>
      <w:rFonts w:cs="Arial"/>
      <w:lang w:eastAsia="en-GB"/>
    </w:rPr>
  </w:style>
  <w:style w:type="paragraph" w:customStyle="1" w:styleId="xl74">
    <w:name w:val="xl74"/>
    <w:basedOn w:val="Normal"/>
    <w:uiPriority w:val="99"/>
    <w:rsid w:val="00963204"/>
    <w:pPr>
      <w:pBdr>
        <w:top w:val="single" w:sz="4" w:space="0" w:color="auto"/>
        <w:bottom w:val="single" w:sz="4" w:space="0" w:color="auto"/>
        <w:right w:val="single" w:sz="4" w:space="0" w:color="auto"/>
      </w:pBdr>
      <w:spacing w:before="100" w:beforeAutospacing="1" w:after="100" w:afterAutospacing="1"/>
      <w:textAlignment w:val="center"/>
    </w:pPr>
    <w:rPr>
      <w:rFonts w:cs="Arial"/>
      <w:lang w:eastAsia="en-GB"/>
    </w:rPr>
  </w:style>
  <w:style w:type="paragraph" w:customStyle="1" w:styleId="xl75">
    <w:name w:val="xl75"/>
    <w:basedOn w:val="Normal"/>
    <w:uiPriority w:val="99"/>
    <w:rsid w:val="00963204"/>
    <w:pPr>
      <w:pBdr>
        <w:top w:val="single" w:sz="4" w:space="0" w:color="auto"/>
        <w:left w:val="single" w:sz="4" w:space="0" w:color="auto"/>
        <w:bottom w:val="single" w:sz="4" w:space="0" w:color="auto"/>
      </w:pBdr>
      <w:spacing w:before="100" w:beforeAutospacing="1" w:after="100" w:afterAutospacing="1"/>
      <w:textAlignment w:val="center"/>
    </w:pPr>
    <w:rPr>
      <w:rFonts w:cs="Arial"/>
      <w:b/>
      <w:bCs/>
      <w:lang w:eastAsia="en-GB"/>
    </w:rPr>
  </w:style>
  <w:style w:type="paragraph" w:customStyle="1" w:styleId="xl76">
    <w:name w:val="xl76"/>
    <w:basedOn w:val="Normal"/>
    <w:uiPriority w:val="99"/>
    <w:rsid w:val="009632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lang w:eastAsia="en-GB"/>
    </w:rPr>
  </w:style>
  <w:style w:type="paragraph" w:customStyle="1" w:styleId="xl77">
    <w:name w:val="xl77"/>
    <w:basedOn w:val="Normal"/>
    <w:uiPriority w:val="99"/>
    <w:rsid w:val="00963204"/>
    <w:pPr>
      <w:pBdr>
        <w:top w:val="single" w:sz="4" w:space="0" w:color="auto"/>
        <w:bottom w:val="single" w:sz="4" w:space="0" w:color="auto"/>
      </w:pBdr>
      <w:spacing w:before="100" w:beforeAutospacing="1" w:after="100" w:afterAutospacing="1"/>
      <w:textAlignment w:val="center"/>
    </w:pPr>
    <w:rPr>
      <w:rFonts w:cs="Arial"/>
      <w:b/>
      <w:bCs/>
      <w:lang w:eastAsia="en-GB"/>
    </w:rPr>
  </w:style>
  <w:style w:type="paragraph" w:customStyle="1" w:styleId="xl78">
    <w:name w:val="xl78"/>
    <w:basedOn w:val="Normal"/>
    <w:uiPriority w:val="99"/>
    <w:rsid w:val="00963204"/>
    <w:pPr>
      <w:spacing w:before="100" w:beforeAutospacing="1" w:after="100" w:afterAutospacing="1"/>
      <w:textAlignment w:val="center"/>
    </w:pPr>
    <w:rPr>
      <w:rFonts w:cs="Arial"/>
      <w:lang w:eastAsia="en-GB"/>
    </w:rPr>
  </w:style>
  <w:style w:type="paragraph" w:customStyle="1" w:styleId="xl79">
    <w:name w:val="xl79"/>
    <w:basedOn w:val="Normal"/>
    <w:uiPriority w:val="99"/>
    <w:rsid w:val="00963204"/>
    <w:pPr>
      <w:pBdr>
        <w:top w:val="single" w:sz="4" w:space="0" w:color="auto"/>
        <w:bottom w:val="single" w:sz="4" w:space="0" w:color="auto"/>
        <w:right w:val="single" w:sz="4" w:space="0" w:color="auto"/>
      </w:pBdr>
      <w:spacing w:before="100" w:beforeAutospacing="1" w:after="100" w:afterAutospacing="1"/>
      <w:textAlignment w:val="center"/>
    </w:pPr>
    <w:rPr>
      <w:rFonts w:cs="Arial"/>
      <w:b/>
      <w:bCs/>
      <w:lang w:eastAsia="en-GB"/>
    </w:rPr>
  </w:style>
  <w:style w:type="paragraph" w:customStyle="1" w:styleId="xl80">
    <w:name w:val="xl80"/>
    <w:basedOn w:val="Normal"/>
    <w:uiPriority w:val="99"/>
    <w:rsid w:val="00963204"/>
    <w:pPr>
      <w:pBdr>
        <w:top w:val="single" w:sz="4" w:space="0" w:color="auto"/>
        <w:left w:val="single" w:sz="4" w:space="0" w:color="auto"/>
        <w:bottom w:val="single" w:sz="4" w:space="0" w:color="auto"/>
      </w:pBdr>
      <w:spacing w:before="100" w:beforeAutospacing="1" w:after="100" w:afterAutospacing="1"/>
      <w:textAlignment w:val="center"/>
    </w:pPr>
    <w:rPr>
      <w:rFonts w:cs="Arial"/>
      <w:lang w:eastAsia="en-GB"/>
    </w:rPr>
  </w:style>
  <w:style w:type="paragraph" w:customStyle="1" w:styleId="xl81">
    <w:name w:val="xl81"/>
    <w:basedOn w:val="Normal"/>
    <w:uiPriority w:val="99"/>
    <w:rsid w:val="00963204"/>
    <w:pPr>
      <w:pBdr>
        <w:top w:val="single" w:sz="4" w:space="0" w:color="auto"/>
        <w:left w:val="single" w:sz="4" w:space="0" w:color="auto"/>
        <w:right w:val="single" w:sz="4" w:space="0" w:color="auto"/>
      </w:pBdr>
      <w:spacing w:before="100" w:beforeAutospacing="1" w:after="100" w:afterAutospacing="1"/>
      <w:textAlignment w:val="center"/>
    </w:pPr>
    <w:rPr>
      <w:rFonts w:cs="Arial"/>
      <w:lang w:eastAsia="en-GB"/>
    </w:rPr>
  </w:style>
  <w:style w:type="paragraph" w:customStyle="1" w:styleId="xl82">
    <w:name w:val="xl82"/>
    <w:basedOn w:val="Normal"/>
    <w:uiPriority w:val="99"/>
    <w:rsid w:val="00963204"/>
    <w:pPr>
      <w:spacing w:before="100" w:beforeAutospacing="1" w:after="100" w:afterAutospacing="1"/>
      <w:textAlignment w:val="center"/>
    </w:pPr>
    <w:rPr>
      <w:rFonts w:cs="Arial"/>
      <w:b/>
      <w:bCs/>
      <w:sz w:val="22"/>
      <w:szCs w:val="22"/>
      <w:lang w:eastAsia="en-GB"/>
    </w:rPr>
  </w:style>
  <w:style w:type="paragraph" w:customStyle="1" w:styleId="xl83">
    <w:name w:val="xl83"/>
    <w:basedOn w:val="Normal"/>
    <w:uiPriority w:val="99"/>
    <w:rsid w:val="009632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lang w:eastAsia="en-GB"/>
    </w:rPr>
  </w:style>
  <w:style w:type="paragraph" w:customStyle="1" w:styleId="xl84">
    <w:name w:val="xl84"/>
    <w:basedOn w:val="Normal"/>
    <w:uiPriority w:val="99"/>
    <w:rsid w:val="00963204"/>
    <w:pPr>
      <w:pBdr>
        <w:left w:val="single" w:sz="4" w:space="0" w:color="auto"/>
        <w:right w:val="single" w:sz="4" w:space="0" w:color="auto"/>
      </w:pBdr>
      <w:spacing w:before="100" w:beforeAutospacing="1" w:after="100" w:afterAutospacing="1"/>
      <w:textAlignment w:val="center"/>
    </w:pPr>
    <w:rPr>
      <w:rFonts w:cs="Arial"/>
      <w:lang w:eastAsia="en-GB"/>
    </w:rPr>
  </w:style>
</w:styles>
</file>

<file path=word/webSettings.xml><?xml version="1.0" encoding="utf-8"?>
<w:webSettings xmlns:r="http://schemas.openxmlformats.org/officeDocument/2006/relationships" xmlns:w="http://schemas.openxmlformats.org/wordprocessingml/2006/main">
  <w:divs>
    <w:div w:id="1132022323">
      <w:marLeft w:val="0"/>
      <w:marRight w:val="0"/>
      <w:marTop w:val="0"/>
      <w:marBottom w:val="0"/>
      <w:divBdr>
        <w:top w:val="none" w:sz="0" w:space="0" w:color="auto"/>
        <w:left w:val="none" w:sz="0" w:space="0" w:color="auto"/>
        <w:bottom w:val="none" w:sz="0" w:space="0" w:color="auto"/>
        <w:right w:val="none" w:sz="0" w:space="0" w:color="auto"/>
      </w:divBdr>
    </w:div>
    <w:div w:id="1132022324">
      <w:marLeft w:val="0"/>
      <w:marRight w:val="0"/>
      <w:marTop w:val="0"/>
      <w:marBottom w:val="0"/>
      <w:divBdr>
        <w:top w:val="none" w:sz="0" w:space="0" w:color="auto"/>
        <w:left w:val="none" w:sz="0" w:space="0" w:color="auto"/>
        <w:bottom w:val="none" w:sz="0" w:space="0" w:color="auto"/>
        <w:right w:val="none" w:sz="0" w:space="0" w:color="auto"/>
      </w:divBdr>
    </w:div>
    <w:div w:id="1132022325">
      <w:marLeft w:val="0"/>
      <w:marRight w:val="0"/>
      <w:marTop w:val="0"/>
      <w:marBottom w:val="0"/>
      <w:divBdr>
        <w:top w:val="none" w:sz="0" w:space="0" w:color="auto"/>
        <w:left w:val="none" w:sz="0" w:space="0" w:color="auto"/>
        <w:bottom w:val="none" w:sz="0" w:space="0" w:color="auto"/>
        <w:right w:val="none" w:sz="0" w:space="0" w:color="auto"/>
      </w:divBdr>
    </w:div>
    <w:div w:id="1132022326">
      <w:marLeft w:val="0"/>
      <w:marRight w:val="0"/>
      <w:marTop w:val="0"/>
      <w:marBottom w:val="0"/>
      <w:divBdr>
        <w:top w:val="none" w:sz="0" w:space="0" w:color="auto"/>
        <w:left w:val="none" w:sz="0" w:space="0" w:color="auto"/>
        <w:bottom w:val="none" w:sz="0" w:space="0" w:color="auto"/>
        <w:right w:val="none" w:sz="0" w:space="0" w:color="auto"/>
      </w:divBdr>
    </w:div>
    <w:div w:id="1132022327">
      <w:marLeft w:val="0"/>
      <w:marRight w:val="0"/>
      <w:marTop w:val="0"/>
      <w:marBottom w:val="0"/>
      <w:divBdr>
        <w:top w:val="none" w:sz="0" w:space="0" w:color="auto"/>
        <w:left w:val="none" w:sz="0" w:space="0" w:color="auto"/>
        <w:bottom w:val="none" w:sz="0" w:space="0" w:color="auto"/>
        <w:right w:val="none" w:sz="0" w:space="0" w:color="auto"/>
      </w:divBdr>
    </w:div>
    <w:div w:id="1132022328">
      <w:marLeft w:val="0"/>
      <w:marRight w:val="0"/>
      <w:marTop w:val="0"/>
      <w:marBottom w:val="0"/>
      <w:divBdr>
        <w:top w:val="none" w:sz="0" w:space="0" w:color="auto"/>
        <w:left w:val="none" w:sz="0" w:space="0" w:color="auto"/>
        <w:bottom w:val="none" w:sz="0" w:space="0" w:color="auto"/>
        <w:right w:val="none" w:sz="0" w:space="0" w:color="auto"/>
      </w:divBdr>
    </w:div>
    <w:div w:id="1132022329">
      <w:marLeft w:val="0"/>
      <w:marRight w:val="0"/>
      <w:marTop w:val="0"/>
      <w:marBottom w:val="0"/>
      <w:divBdr>
        <w:top w:val="none" w:sz="0" w:space="0" w:color="auto"/>
        <w:left w:val="none" w:sz="0" w:space="0" w:color="auto"/>
        <w:bottom w:val="none" w:sz="0" w:space="0" w:color="auto"/>
        <w:right w:val="none" w:sz="0" w:space="0" w:color="auto"/>
      </w:divBdr>
    </w:div>
    <w:div w:id="1132022330">
      <w:marLeft w:val="0"/>
      <w:marRight w:val="0"/>
      <w:marTop w:val="0"/>
      <w:marBottom w:val="0"/>
      <w:divBdr>
        <w:top w:val="none" w:sz="0" w:space="0" w:color="auto"/>
        <w:left w:val="none" w:sz="0" w:space="0" w:color="auto"/>
        <w:bottom w:val="none" w:sz="0" w:space="0" w:color="auto"/>
        <w:right w:val="none" w:sz="0" w:space="0" w:color="auto"/>
      </w:divBdr>
    </w:div>
    <w:div w:id="1132022331">
      <w:marLeft w:val="0"/>
      <w:marRight w:val="0"/>
      <w:marTop w:val="0"/>
      <w:marBottom w:val="0"/>
      <w:divBdr>
        <w:top w:val="none" w:sz="0" w:space="0" w:color="auto"/>
        <w:left w:val="none" w:sz="0" w:space="0" w:color="auto"/>
        <w:bottom w:val="none" w:sz="0" w:space="0" w:color="auto"/>
        <w:right w:val="none" w:sz="0" w:space="0" w:color="auto"/>
      </w:divBdr>
    </w:div>
    <w:div w:id="1132022332">
      <w:marLeft w:val="0"/>
      <w:marRight w:val="0"/>
      <w:marTop w:val="0"/>
      <w:marBottom w:val="0"/>
      <w:divBdr>
        <w:top w:val="none" w:sz="0" w:space="0" w:color="auto"/>
        <w:left w:val="none" w:sz="0" w:space="0" w:color="auto"/>
        <w:bottom w:val="none" w:sz="0" w:space="0" w:color="auto"/>
        <w:right w:val="none" w:sz="0" w:space="0" w:color="auto"/>
      </w:divBdr>
    </w:div>
    <w:div w:id="15631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Reports\A4%20Portrai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5EEF3C-C1A2-4E6F-9E5F-42C74CD5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Report.dot</Template>
  <TotalTime>48</TotalTime>
  <Pages>19</Pages>
  <Words>4068</Words>
  <Characters>22998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Review of Lower Thames Crossing Capacity Options</vt:lpstr>
    </vt:vector>
  </TitlesOfParts>
  <Company>AECOM</Company>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Lower Thames Crossing Capacity Options</dc:title>
  <dc:subject>Operating Costs, Maintenance Costs and Revenues Report</dc:subject>
  <dc:creator>AECOM</dc:creator>
  <cp:lastModifiedBy>ezcurraa</cp:lastModifiedBy>
  <cp:revision>7</cp:revision>
  <cp:lastPrinted>2012-08-17T17:43:00Z</cp:lastPrinted>
  <dcterms:created xsi:type="dcterms:W3CDTF">2012-11-26T11:20:00Z</dcterms:created>
  <dcterms:modified xsi:type="dcterms:W3CDTF">2013-05-14T14:20:00Z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