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AD" w:rsidRPr="00654B63" w:rsidRDefault="00B42A34" w:rsidP="001510AD">
      <w:pPr>
        <w:jc w:val="right"/>
        <w:rPr>
          <w:rFonts w:ascii="Arial" w:hAnsi="Arial" w:cs="Arial"/>
          <w:b/>
          <w:sz w:val="24"/>
          <w:szCs w:val="24"/>
        </w:rPr>
      </w:pPr>
      <w:r>
        <w:rPr>
          <w:rFonts w:ascii="Arial" w:hAnsi="Arial" w:cs="Arial"/>
          <w:b/>
          <w:sz w:val="24"/>
          <w:szCs w:val="24"/>
        </w:rPr>
        <w:t>14</w:t>
      </w:r>
      <w:r w:rsidR="00EE60CB">
        <w:rPr>
          <w:rFonts w:ascii="Arial" w:hAnsi="Arial" w:cs="Arial"/>
          <w:b/>
          <w:sz w:val="24"/>
          <w:szCs w:val="24"/>
        </w:rPr>
        <w:t xml:space="preserve"> </w:t>
      </w:r>
      <w:r>
        <w:rPr>
          <w:rFonts w:ascii="Arial" w:hAnsi="Arial" w:cs="Arial"/>
          <w:b/>
          <w:sz w:val="24"/>
          <w:szCs w:val="24"/>
        </w:rPr>
        <w:t xml:space="preserve">May </w:t>
      </w:r>
      <w:r w:rsidR="00BF3B57">
        <w:rPr>
          <w:rFonts w:ascii="Arial" w:hAnsi="Arial" w:cs="Arial"/>
          <w:b/>
          <w:sz w:val="24"/>
          <w:szCs w:val="24"/>
        </w:rPr>
        <w:t>2013</w:t>
      </w:r>
    </w:p>
    <w:p w:rsidR="00FC2B50" w:rsidRPr="00AF4EFB" w:rsidRDefault="001510AD" w:rsidP="00FC2B50">
      <w:pPr>
        <w:rPr>
          <w:rFonts w:ascii="Arial" w:hAnsi="Arial" w:cs="Arial"/>
          <w:b/>
          <w:sz w:val="24"/>
          <w:szCs w:val="24"/>
        </w:rPr>
      </w:pPr>
      <w:r w:rsidRPr="00AF4EFB">
        <w:rPr>
          <w:rFonts w:ascii="Arial" w:hAnsi="Arial" w:cs="Arial"/>
          <w:b/>
          <w:sz w:val="24"/>
          <w:szCs w:val="24"/>
        </w:rPr>
        <w:t>STATISTICAL RELEASE</w:t>
      </w:r>
      <w:r w:rsidR="00FC2B50" w:rsidRPr="00AF4EFB">
        <w:rPr>
          <w:rFonts w:ascii="Arial" w:hAnsi="Arial" w:cs="Arial"/>
          <w:b/>
          <w:sz w:val="24"/>
          <w:szCs w:val="24"/>
        </w:rPr>
        <w:t>: EXPERIMENTAL STATISTICS</w:t>
      </w:r>
    </w:p>
    <w:p w:rsidR="00E96215" w:rsidRDefault="00E638AD" w:rsidP="00424413">
      <w:pPr>
        <w:spacing w:after="160"/>
        <w:jc w:val="both"/>
        <w:rPr>
          <w:rFonts w:ascii="Arial" w:hAnsi="Arial" w:cs="Arial"/>
          <w:color w:val="009EE3"/>
          <w:sz w:val="30"/>
          <w:szCs w:val="30"/>
        </w:rPr>
      </w:pPr>
      <w:bookmarkStart w:id="0" w:name="OLE_LINK15"/>
      <w:bookmarkStart w:id="1" w:name="OLE_LINK16"/>
      <w:r>
        <w:rPr>
          <w:rFonts w:ascii="Arial" w:hAnsi="Arial" w:cs="Arial"/>
          <w:color w:val="009EE3"/>
          <w:sz w:val="30"/>
          <w:szCs w:val="30"/>
        </w:rPr>
        <w:t>Domestic Green Deal and Energy Company Obligation in Great Britain, Monthly report</w:t>
      </w:r>
    </w:p>
    <w:bookmarkEnd w:id="0"/>
    <w:bookmarkEnd w:id="1"/>
    <w:p w:rsidR="00E638AD" w:rsidRDefault="00E638AD" w:rsidP="009A3652">
      <w:pPr>
        <w:rPr>
          <w:rFonts w:ascii="Arial" w:hAnsi="Arial" w:cs="Arial"/>
          <w:b/>
        </w:rPr>
      </w:pPr>
      <w:r>
        <w:rPr>
          <w:rFonts w:ascii="Arial" w:hAnsi="Arial" w:cs="Arial"/>
          <w:b/>
        </w:rPr>
        <w:t>Introduction</w:t>
      </w:r>
    </w:p>
    <w:p w:rsidR="00E638AD" w:rsidRPr="00E638AD" w:rsidRDefault="00E638AD" w:rsidP="00E638AD">
      <w:pPr>
        <w:spacing w:after="0" w:line="240" w:lineRule="auto"/>
        <w:jc w:val="both"/>
        <w:rPr>
          <w:rFonts w:ascii="Arial" w:eastAsia="Times New Roman" w:hAnsi="Arial" w:cs="Arial"/>
          <w:lang w:eastAsia="en-GB"/>
        </w:rPr>
      </w:pPr>
      <w:r w:rsidRPr="00E638AD">
        <w:rPr>
          <w:rFonts w:ascii="Arial" w:eastAsia="Times New Roman" w:hAnsi="Arial" w:cs="Arial"/>
          <w:lang w:eastAsia="en-GB"/>
        </w:rPr>
        <w:t xml:space="preserve">This release presents the </w:t>
      </w:r>
      <w:r w:rsidR="008C2FD0">
        <w:rPr>
          <w:rFonts w:ascii="Arial" w:eastAsia="Times New Roman" w:hAnsi="Arial" w:cs="Arial"/>
          <w:lang w:eastAsia="en-GB"/>
        </w:rPr>
        <w:t>third</w:t>
      </w:r>
      <w:r w:rsidR="0014013F">
        <w:rPr>
          <w:rFonts w:ascii="Arial" w:eastAsia="Times New Roman" w:hAnsi="Arial" w:cs="Arial"/>
          <w:lang w:eastAsia="en-GB"/>
        </w:rPr>
        <w:t xml:space="preserve"> </w:t>
      </w:r>
      <w:r w:rsidR="004F63D4" w:rsidRPr="00E638AD">
        <w:rPr>
          <w:rFonts w:ascii="Arial" w:eastAsia="Times New Roman" w:hAnsi="Arial" w:cs="Arial"/>
          <w:lang w:eastAsia="en-GB"/>
        </w:rPr>
        <w:t xml:space="preserve">monthly </w:t>
      </w:r>
      <w:r w:rsidRPr="00E638AD">
        <w:rPr>
          <w:rFonts w:ascii="Arial" w:eastAsia="Times New Roman" w:hAnsi="Arial" w:cs="Arial"/>
          <w:lang w:eastAsia="en-GB"/>
        </w:rPr>
        <w:t>statistics on the Green Deal (GD) for the domestic sector and</w:t>
      </w:r>
      <w:r w:rsidR="00493FD7">
        <w:rPr>
          <w:rFonts w:ascii="Arial" w:eastAsia="Times New Roman" w:hAnsi="Arial" w:cs="Arial"/>
          <w:lang w:eastAsia="en-GB"/>
        </w:rPr>
        <w:t xml:space="preserve"> the</w:t>
      </w:r>
      <w:r w:rsidRPr="00E638AD">
        <w:rPr>
          <w:rFonts w:ascii="Arial" w:eastAsia="Times New Roman" w:hAnsi="Arial" w:cs="Arial"/>
          <w:lang w:eastAsia="en-GB"/>
        </w:rPr>
        <w:t xml:space="preserve"> Energy Company Obligation (ECO). This release includes summa</w:t>
      </w:r>
      <w:r w:rsidR="00BC7763">
        <w:rPr>
          <w:rFonts w:ascii="Arial" w:eastAsia="Times New Roman" w:hAnsi="Arial" w:cs="Arial"/>
          <w:lang w:eastAsia="en-GB"/>
        </w:rPr>
        <w:t>ry figures on the number of GD A</w:t>
      </w:r>
      <w:r w:rsidRPr="00E638AD">
        <w:rPr>
          <w:rFonts w:ascii="Arial" w:eastAsia="Times New Roman" w:hAnsi="Arial" w:cs="Arial"/>
          <w:lang w:eastAsia="en-GB"/>
        </w:rPr>
        <w:t>ssessments, the GD supply chain and information on ECO brokerage</w:t>
      </w:r>
      <w:r w:rsidR="00284C39">
        <w:rPr>
          <w:rFonts w:ascii="Arial" w:eastAsia="Times New Roman" w:hAnsi="Arial" w:cs="Arial"/>
          <w:lang w:eastAsia="en-GB"/>
        </w:rPr>
        <w:t>, all</w:t>
      </w:r>
      <w:r w:rsidR="008A539C">
        <w:rPr>
          <w:rFonts w:ascii="Arial" w:eastAsia="Times New Roman" w:hAnsi="Arial" w:cs="Arial"/>
          <w:lang w:eastAsia="en-GB"/>
        </w:rPr>
        <w:t xml:space="preserve"> to the end of </w:t>
      </w:r>
      <w:r w:rsidR="008C2FD0">
        <w:rPr>
          <w:rFonts w:ascii="Arial" w:eastAsia="Times New Roman" w:hAnsi="Arial" w:cs="Arial"/>
          <w:lang w:eastAsia="en-GB"/>
        </w:rPr>
        <w:t>April</w:t>
      </w:r>
      <w:r w:rsidR="00424413">
        <w:rPr>
          <w:rFonts w:ascii="Arial" w:eastAsia="Times New Roman" w:hAnsi="Arial" w:cs="Arial"/>
          <w:lang w:eastAsia="en-GB"/>
        </w:rPr>
        <w:t xml:space="preserve"> 2013</w:t>
      </w:r>
      <w:r w:rsidR="00284C39">
        <w:rPr>
          <w:rFonts w:ascii="Arial" w:eastAsia="Times New Roman" w:hAnsi="Arial" w:cs="Arial"/>
          <w:lang w:eastAsia="en-GB"/>
        </w:rPr>
        <w:t>.</w:t>
      </w:r>
    </w:p>
    <w:p w:rsidR="00E638AD" w:rsidRPr="00E638AD" w:rsidRDefault="00E638AD" w:rsidP="00E638AD">
      <w:pPr>
        <w:spacing w:after="0" w:line="240" w:lineRule="auto"/>
        <w:jc w:val="both"/>
        <w:rPr>
          <w:rFonts w:ascii="Arial" w:eastAsia="Times New Roman" w:hAnsi="Arial" w:cs="Arial"/>
          <w:lang w:eastAsia="en-GB"/>
        </w:rPr>
      </w:pPr>
    </w:p>
    <w:p w:rsidR="00E638AD" w:rsidRPr="00E638AD" w:rsidRDefault="00E638AD" w:rsidP="00E638AD">
      <w:pPr>
        <w:spacing w:after="0" w:line="240" w:lineRule="auto"/>
        <w:jc w:val="both"/>
        <w:rPr>
          <w:rFonts w:ascii="Arial" w:eastAsia="Times New Roman" w:hAnsi="Arial" w:cs="Arial"/>
          <w:lang w:eastAsia="en-GB"/>
        </w:rPr>
      </w:pPr>
      <w:r w:rsidRPr="00E638AD">
        <w:rPr>
          <w:rFonts w:ascii="Arial" w:hAnsi="Arial" w:cs="Arial"/>
        </w:rPr>
        <w:t>The Green Deal launched on 28 January 2013 in England and Wal</w:t>
      </w:r>
      <w:r w:rsidR="00AE03F3">
        <w:rPr>
          <w:rFonts w:ascii="Arial" w:hAnsi="Arial" w:cs="Arial"/>
        </w:rPr>
        <w:t>es and on 25 February in Scotland</w:t>
      </w:r>
      <w:r w:rsidRPr="00E638AD">
        <w:rPr>
          <w:rFonts w:ascii="Arial" w:hAnsi="Arial" w:cs="Arial"/>
        </w:rPr>
        <w:t>. ECO started on 1 January 2013 for Great Britain.</w:t>
      </w:r>
    </w:p>
    <w:p w:rsidR="00E638AD" w:rsidRPr="00E638AD" w:rsidRDefault="00E638AD" w:rsidP="00E638AD">
      <w:pPr>
        <w:spacing w:after="0" w:line="240" w:lineRule="auto"/>
        <w:jc w:val="both"/>
        <w:rPr>
          <w:rFonts w:ascii="Arial" w:eastAsia="Times New Roman" w:hAnsi="Arial" w:cs="Arial"/>
          <w:lang w:eastAsia="en-GB"/>
        </w:rPr>
      </w:pPr>
    </w:p>
    <w:p w:rsidR="009A3652" w:rsidRPr="00E3008C" w:rsidRDefault="009A3652" w:rsidP="00F231F0">
      <w:pPr>
        <w:tabs>
          <w:tab w:val="left" w:pos="5991"/>
        </w:tabs>
        <w:rPr>
          <w:rFonts w:ascii="Arial" w:hAnsi="Arial" w:cs="Arial"/>
          <w:b/>
        </w:rPr>
      </w:pPr>
      <w:r w:rsidRPr="00E3008C">
        <w:rPr>
          <w:rFonts w:ascii="Arial" w:hAnsi="Arial" w:cs="Arial"/>
          <w:b/>
        </w:rPr>
        <w:t xml:space="preserve">Key points </w:t>
      </w:r>
      <w:r w:rsidR="00E638AD" w:rsidRPr="00E3008C">
        <w:rPr>
          <w:rFonts w:ascii="Arial" w:hAnsi="Arial" w:cs="Arial"/>
          <w:b/>
        </w:rPr>
        <w:t xml:space="preserve">(to the end of </w:t>
      </w:r>
      <w:r w:rsidR="00E3008C" w:rsidRPr="00E3008C">
        <w:rPr>
          <w:rFonts w:ascii="Arial" w:hAnsi="Arial" w:cs="Arial"/>
          <w:b/>
        </w:rPr>
        <w:t>April</w:t>
      </w:r>
      <w:r w:rsidR="00E638AD" w:rsidRPr="00E3008C">
        <w:rPr>
          <w:rFonts w:ascii="Arial" w:hAnsi="Arial" w:cs="Arial"/>
          <w:b/>
        </w:rPr>
        <w:t>)</w:t>
      </w:r>
      <w:r w:rsidR="00F231F0" w:rsidRPr="00E3008C">
        <w:rPr>
          <w:rFonts w:ascii="Arial" w:hAnsi="Arial" w:cs="Arial"/>
          <w:b/>
        </w:rPr>
        <w:tab/>
      </w:r>
    </w:p>
    <w:p w:rsidR="003E69D8" w:rsidRPr="00E3008C" w:rsidRDefault="00E3008C" w:rsidP="00424413">
      <w:pPr>
        <w:pStyle w:val="ListParagraph"/>
        <w:numPr>
          <w:ilvl w:val="0"/>
          <w:numId w:val="28"/>
        </w:numPr>
        <w:spacing w:after="200"/>
        <w:contextualSpacing/>
        <w:jc w:val="both"/>
        <w:rPr>
          <w:rFonts w:ascii="Arial" w:hAnsi="Arial" w:cs="Arial"/>
        </w:rPr>
      </w:pPr>
      <w:r w:rsidRPr="00E3008C">
        <w:rPr>
          <w:rFonts w:ascii="Arial" w:hAnsi="Arial" w:cs="Arial"/>
        </w:rPr>
        <w:t>18,816</w:t>
      </w:r>
      <w:r w:rsidR="00BC7763" w:rsidRPr="00E3008C">
        <w:rPr>
          <w:rFonts w:ascii="Arial" w:hAnsi="Arial" w:cs="Arial"/>
        </w:rPr>
        <w:t xml:space="preserve"> GD A</w:t>
      </w:r>
      <w:r w:rsidR="00284C39" w:rsidRPr="00E3008C">
        <w:rPr>
          <w:rFonts w:ascii="Arial" w:hAnsi="Arial" w:cs="Arial"/>
        </w:rPr>
        <w:t>ssessments had</w:t>
      </w:r>
      <w:r w:rsidR="00E638AD" w:rsidRPr="00E3008C">
        <w:rPr>
          <w:rFonts w:ascii="Arial" w:hAnsi="Arial" w:cs="Arial"/>
        </w:rPr>
        <w:t xml:space="preserve"> been lodged</w:t>
      </w:r>
      <w:r w:rsidR="000F6B88" w:rsidRPr="00E3008C">
        <w:rPr>
          <w:rFonts w:ascii="Arial" w:hAnsi="Arial" w:cs="Arial"/>
        </w:rPr>
        <w:t xml:space="preserve"> </w:t>
      </w:r>
      <w:r w:rsidR="00547E09" w:rsidRPr="00E3008C">
        <w:rPr>
          <w:rFonts w:ascii="Arial" w:hAnsi="Arial" w:cs="Arial"/>
        </w:rPr>
        <w:t xml:space="preserve">to date </w:t>
      </w:r>
      <w:r w:rsidR="000F6B88" w:rsidRPr="00E3008C">
        <w:rPr>
          <w:rFonts w:ascii="Arial" w:hAnsi="Arial" w:cs="Arial"/>
        </w:rPr>
        <w:t>(Chart 1)</w:t>
      </w:r>
      <w:r w:rsidR="00517A44" w:rsidRPr="00E3008C">
        <w:rPr>
          <w:rFonts w:ascii="Arial" w:hAnsi="Arial" w:cs="Arial"/>
        </w:rPr>
        <w:t xml:space="preserve">, up from </w:t>
      </w:r>
      <w:r w:rsidRPr="00E3008C">
        <w:rPr>
          <w:rFonts w:ascii="Arial" w:hAnsi="Arial" w:cs="Arial"/>
        </w:rPr>
        <w:t xml:space="preserve">9,294 </w:t>
      </w:r>
      <w:r w:rsidR="00517A44" w:rsidRPr="00E3008C">
        <w:rPr>
          <w:rFonts w:ascii="Arial" w:hAnsi="Arial" w:cs="Arial"/>
        </w:rPr>
        <w:t xml:space="preserve">at end of </w:t>
      </w:r>
      <w:r w:rsidRPr="00E3008C">
        <w:rPr>
          <w:rFonts w:ascii="Arial" w:hAnsi="Arial" w:cs="Arial"/>
        </w:rPr>
        <w:t>March</w:t>
      </w:r>
      <w:r w:rsidR="00A15145" w:rsidRPr="00E3008C">
        <w:rPr>
          <w:rFonts w:ascii="Arial" w:hAnsi="Arial" w:cs="Arial"/>
        </w:rPr>
        <w:t xml:space="preserve"> (</w:t>
      </w:r>
      <w:r w:rsidRPr="00E3008C">
        <w:rPr>
          <w:rFonts w:ascii="Arial" w:hAnsi="Arial" w:cs="Arial"/>
        </w:rPr>
        <w:t xml:space="preserve">with 9,522 </w:t>
      </w:r>
      <w:r w:rsidR="00A15145" w:rsidRPr="00E3008C">
        <w:rPr>
          <w:rFonts w:ascii="Arial" w:hAnsi="Arial" w:cs="Arial"/>
        </w:rPr>
        <w:t xml:space="preserve">in </w:t>
      </w:r>
      <w:r w:rsidRPr="00E3008C">
        <w:rPr>
          <w:rFonts w:ascii="Arial" w:hAnsi="Arial" w:cs="Arial"/>
        </w:rPr>
        <w:t>April</w:t>
      </w:r>
      <w:r w:rsidR="00A15145" w:rsidRPr="00E3008C">
        <w:rPr>
          <w:rFonts w:ascii="Arial" w:hAnsi="Arial" w:cs="Arial"/>
        </w:rPr>
        <w:t xml:space="preserve"> alone, compared to</w:t>
      </w:r>
      <w:r w:rsidRPr="00E3008C">
        <w:rPr>
          <w:rFonts w:ascii="Arial" w:hAnsi="Arial" w:cs="Arial"/>
        </w:rPr>
        <w:t xml:space="preserve"> 7,491 in March and</w:t>
      </w:r>
      <w:r w:rsidR="00A15145" w:rsidRPr="00E3008C">
        <w:rPr>
          <w:rFonts w:ascii="Arial" w:hAnsi="Arial" w:cs="Arial"/>
        </w:rPr>
        <w:t xml:space="preserve"> 1,729 in February).</w:t>
      </w:r>
    </w:p>
    <w:p w:rsidR="003E69D8" w:rsidRPr="00E3008C" w:rsidRDefault="003E69D8" w:rsidP="00424413">
      <w:pPr>
        <w:pStyle w:val="ListParagraph"/>
        <w:spacing w:after="200"/>
        <w:contextualSpacing/>
        <w:jc w:val="both"/>
        <w:rPr>
          <w:rFonts w:ascii="Arial" w:hAnsi="Arial" w:cs="Arial"/>
        </w:rPr>
      </w:pPr>
    </w:p>
    <w:p w:rsidR="008A539C" w:rsidRPr="00E3008C" w:rsidRDefault="00E3008C" w:rsidP="00424413">
      <w:pPr>
        <w:pStyle w:val="ListParagraph"/>
        <w:numPr>
          <w:ilvl w:val="0"/>
          <w:numId w:val="28"/>
        </w:numPr>
        <w:spacing w:after="200"/>
        <w:contextualSpacing/>
        <w:jc w:val="both"/>
        <w:rPr>
          <w:rFonts w:ascii="Arial" w:hAnsi="Arial" w:cs="Arial"/>
        </w:rPr>
      </w:pPr>
      <w:r w:rsidRPr="00E3008C">
        <w:rPr>
          <w:rFonts w:ascii="Arial" w:hAnsi="Arial" w:cs="Arial"/>
        </w:rPr>
        <w:t>152</w:t>
      </w:r>
      <w:r w:rsidR="008914B0" w:rsidRPr="00E3008C">
        <w:rPr>
          <w:rFonts w:ascii="Arial" w:hAnsi="Arial" w:cs="Arial"/>
        </w:rPr>
        <w:t xml:space="preserve"> GD Assessor Organisations</w:t>
      </w:r>
      <w:r w:rsidR="007B17C6" w:rsidRPr="00E3008C">
        <w:rPr>
          <w:rFonts w:ascii="Arial" w:hAnsi="Arial" w:cs="Arial"/>
        </w:rPr>
        <w:t xml:space="preserve"> and the </w:t>
      </w:r>
      <w:r w:rsidR="004377DD" w:rsidRPr="00E3008C">
        <w:rPr>
          <w:rFonts w:ascii="Arial" w:hAnsi="Arial" w:cs="Arial"/>
        </w:rPr>
        <w:t>1,</w:t>
      </w:r>
      <w:r w:rsidRPr="00E3008C">
        <w:rPr>
          <w:rFonts w:ascii="Arial" w:hAnsi="Arial" w:cs="Arial"/>
        </w:rPr>
        <w:t>274</w:t>
      </w:r>
      <w:r w:rsidR="008914B0" w:rsidRPr="00E3008C">
        <w:rPr>
          <w:rFonts w:ascii="Arial" w:hAnsi="Arial" w:cs="Arial"/>
        </w:rPr>
        <w:t xml:space="preserve"> GD </w:t>
      </w:r>
      <w:r w:rsidR="007D7942" w:rsidRPr="00E3008C">
        <w:rPr>
          <w:rFonts w:ascii="Arial" w:hAnsi="Arial" w:cs="Arial"/>
        </w:rPr>
        <w:t>A</w:t>
      </w:r>
      <w:r w:rsidR="008914B0" w:rsidRPr="00E3008C">
        <w:rPr>
          <w:rFonts w:ascii="Arial" w:hAnsi="Arial" w:cs="Arial"/>
        </w:rPr>
        <w:t>dvisors</w:t>
      </w:r>
      <w:r w:rsidR="00493FD7" w:rsidRPr="00E3008C">
        <w:rPr>
          <w:rFonts w:ascii="Arial" w:hAnsi="Arial" w:cs="Arial"/>
        </w:rPr>
        <w:t xml:space="preserve"> </w:t>
      </w:r>
      <w:r w:rsidR="007B17C6" w:rsidRPr="00E3008C">
        <w:rPr>
          <w:rFonts w:ascii="Arial" w:hAnsi="Arial" w:cs="Arial"/>
        </w:rPr>
        <w:t xml:space="preserve">they employ </w:t>
      </w:r>
      <w:r w:rsidR="00284C39" w:rsidRPr="00E3008C">
        <w:rPr>
          <w:rFonts w:ascii="Arial" w:hAnsi="Arial" w:cs="Arial"/>
        </w:rPr>
        <w:t>had</w:t>
      </w:r>
      <w:r w:rsidR="00493FD7" w:rsidRPr="00E3008C">
        <w:rPr>
          <w:rFonts w:ascii="Arial" w:hAnsi="Arial" w:cs="Arial"/>
        </w:rPr>
        <w:t xml:space="preserve"> been accredited</w:t>
      </w:r>
      <w:r w:rsidR="00517A44" w:rsidRPr="00E3008C">
        <w:rPr>
          <w:rFonts w:ascii="Arial" w:hAnsi="Arial" w:cs="Arial"/>
        </w:rPr>
        <w:t xml:space="preserve">, up from </w:t>
      </w:r>
      <w:r w:rsidRPr="00E3008C">
        <w:rPr>
          <w:rFonts w:ascii="Arial" w:hAnsi="Arial" w:cs="Arial"/>
        </w:rPr>
        <w:t>108</w:t>
      </w:r>
      <w:r w:rsidR="00517A44" w:rsidRPr="00E3008C">
        <w:rPr>
          <w:rFonts w:ascii="Arial" w:hAnsi="Arial" w:cs="Arial"/>
        </w:rPr>
        <w:t xml:space="preserve"> and</w:t>
      </w:r>
      <w:r w:rsidR="007F5845" w:rsidRPr="00E3008C">
        <w:rPr>
          <w:rFonts w:ascii="Arial" w:hAnsi="Arial" w:cs="Arial"/>
        </w:rPr>
        <w:t xml:space="preserve"> </w:t>
      </w:r>
      <w:r w:rsidRPr="00E3008C">
        <w:rPr>
          <w:rFonts w:ascii="Arial" w:hAnsi="Arial" w:cs="Arial"/>
        </w:rPr>
        <w:t>1,003</w:t>
      </w:r>
      <w:r w:rsidR="00517A44" w:rsidRPr="00E3008C">
        <w:rPr>
          <w:rFonts w:ascii="Arial" w:hAnsi="Arial" w:cs="Arial"/>
        </w:rPr>
        <w:t xml:space="preserve"> at end </w:t>
      </w:r>
      <w:r w:rsidRPr="00E3008C">
        <w:rPr>
          <w:rFonts w:ascii="Arial" w:hAnsi="Arial" w:cs="Arial"/>
        </w:rPr>
        <w:t xml:space="preserve">March </w:t>
      </w:r>
      <w:r w:rsidR="00517A44" w:rsidRPr="00E3008C">
        <w:rPr>
          <w:rFonts w:ascii="Arial" w:hAnsi="Arial" w:cs="Arial"/>
        </w:rPr>
        <w:t>respectively</w:t>
      </w:r>
      <w:r w:rsidR="000707B3">
        <w:rPr>
          <w:rFonts w:ascii="Arial" w:hAnsi="Arial" w:cs="Arial"/>
        </w:rPr>
        <w:t>.</w:t>
      </w:r>
    </w:p>
    <w:p w:rsidR="008A539C" w:rsidRPr="00E3008C" w:rsidRDefault="008A539C" w:rsidP="00424413">
      <w:pPr>
        <w:pStyle w:val="ListParagraph"/>
        <w:jc w:val="both"/>
        <w:rPr>
          <w:rFonts w:ascii="Arial" w:hAnsi="Arial" w:cs="Arial"/>
        </w:rPr>
      </w:pPr>
    </w:p>
    <w:p w:rsidR="00E638AD" w:rsidRPr="00E3008C" w:rsidRDefault="00E638AD" w:rsidP="00424413">
      <w:pPr>
        <w:pStyle w:val="ListParagraph"/>
        <w:numPr>
          <w:ilvl w:val="0"/>
          <w:numId w:val="28"/>
        </w:numPr>
        <w:spacing w:after="200"/>
        <w:ind w:left="714" w:hanging="357"/>
        <w:contextualSpacing/>
        <w:jc w:val="both"/>
        <w:rPr>
          <w:rFonts w:ascii="Arial" w:hAnsi="Arial" w:cs="Arial"/>
        </w:rPr>
      </w:pPr>
      <w:r w:rsidRPr="00E3008C">
        <w:rPr>
          <w:rFonts w:ascii="Arial" w:hAnsi="Arial" w:cs="Arial"/>
        </w:rPr>
        <w:t>£</w:t>
      </w:r>
      <w:r w:rsidR="00E3008C" w:rsidRPr="00E3008C">
        <w:rPr>
          <w:rFonts w:ascii="Arial" w:hAnsi="Arial" w:cs="Arial"/>
        </w:rPr>
        <w:t>85.5</w:t>
      </w:r>
      <w:r w:rsidR="00284C39" w:rsidRPr="00E3008C">
        <w:rPr>
          <w:rFonts w:ascii="Arial" w:hAnsi="Arial" w:cs="Arial"/>
        </w:rPr>
        <w:t xml:space="preserve"> million worth of contracts had</w:t>
      </w:r>
      <w:r w:rsidRPr="00E3008C">
        <w:rPr>
          <w:rFonts w:ascii="Arial" w:hAnsi="Arial" w:cs="Arial"/>
        </w:rPr>
        <w:t xml:space="preserve"> been let through the ECO brokerage system</w:t>
      </w:r>
      <w:r w:rsidR="00517A44" w:rsidRPr="00E3008C">
        <w:rPr>
          <w:rFonts w:ascii="Arial" w:hAnsi="Arial" w:cs="Arial"/>
        </w:rPr>
        <w:t xml:space="preserve">, compared to </w:t>
      </w:r>
      <w:r w:rsidR="00E3008C" w:rsidRPr="00E3008C">
        <w:rPr>
          <w:rFonts w:ascii="Arial" w:hAnsi="Arial" w:cs="Arial"/>
        </w:rPr>
        <w:t>£68</w:t>
      </w:r>
      <w:r w:rsidR="007F5845" w:rsidRPr="00E3008C">
        <w:rPr>
          <w:rFonts w:ascii="Arial" w:hAnsi="Arial" w:cs="Arial"/>
        </w:rPr>
        <w:t>.9</w:t>
      </w:r>
      <w:r w:rsidR="00517A44" w:rsidRPr="00E3008C">
        <w:rPr>
          <w:rFonts w:ascii="Arial" w:hAnsi="Arial" w:cs="Arial"/>
        </w:rPr>
        <w:t xml:space="preserve"> million at end </w:t>
      </w:r>
      <w:r w:rsidR="00E3008C" w:rsidRPr="00E3008C">
        <w:rPr>
          <w:rFonts w:ascii="Arial" w:hAnsi="Arial" w:cs="Arial"/>
        </w:rPr>
        <w:t>March</w:t>
      </w:r>
      <w:r w:rsidR="007F5845" w:rsidRPr="00E3008C">
        <w:rPr>
          <w:rFonts w:ascii="Arial" w:hAnsi="Arial" w:cs="Arial"/>
        </w:rPr>
        <w:t>.</w:t>
      </w:r>
    </w:p>
    <w:p w:rsidR="00E638AD" w:rsidRPr="00E3008C" w:rsidRDefault="00E638AD" w:rsidP="00E638AD">
      <w:pPr>
        <w:pStyle w:val="ListParagraph"/>
        <w:rPr>
          <w:rFonts w:ascii="Arial" w:hAnsi="Arial" w:cs="Arial"/>
        </w:rPr>
      </w:pPr>
      <w:bookmarkStart w:id="2" w:name="OLE_LINK1"/>
      <w:bookmarkStart w:id="3" w:name="OLE_LINK2"/>
    </w:p>
    <w:p w:rsidR="00511F34" w:rsidRPr="00E3008C" w:rsidRDefault="00511F34" w:rsidP="00511F34">
      <w:pPr>
        <w:spacing w:line="240" w:lineRule="auto"/>
        <w:rPr>
          <w:rFonts w:ascii="Arial" w:hAnsi="Arial" w:cs="Arial"/>
        </w:rPr>
      </w:pPr>
      <w:bookmarkStart w:id="4" w:name="Chart1"/>
      <w:bookmarkStart w:id="5" w:name="OLE_LINK5"/>
      <w:bookmarkStart w:id="6" w:name="OLE_LINK6"/>
      <w:r w:rsidRPr="00E3008C">
        <w:rPr>
          <w:rFonts w:ascii="Arial" w:hAnsi="Arial" w:cs="Arial"/>
        </w:rPr>
        <w:t xml:space="preserve">Chart 1 – </w:t>
      </w:r>
      <w:r w:rsidR="008A539C" w:rsidRPr="00E3008C">
        <w:rPr>
          <w:rFonts w:ascii="Arial" w:hAnsi="Arial" w:cs="Arial"/>
        </w:rPr>
        <w:t>Number of GD Assessments lodged, by month</w:t>
      </w:r>
    </w:p>
    <w:bookmarkEnd w:id="4"/>
    <w:bookmarkEnd w:id="5"/>
    <w:bookmarkEnd w:id="6"/>
    <w:p w:rsidR="00511F34" w:rsidRPr="001D1672" w:rsidRDefault="000E77E3" w:rsidP="00FC2B50">
      <w:pPr>
        <w:rPr>
          <w:rFonts w:ascii="Arial" w:hAnsi="Arial" w:cs="Arial"/>
          <w:b/>
        </w:rPr>
      </w:pPr>
      <w:r w:rsidRPr="001D1672">
        <w:rPr>
          <w:rFonts w:ascii="Arial" w:hAnsi="Arial" w:cs="Arial"/>
          <w:b/>
        </w:rPr>
        <w:t xml:space="preserve"> </w:t>
      </w:r>
      <w:r w:rsidR="004756E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4.75pt;height:249pt">
            <v:imagedata r:id="rId8" o:title=""/>
          </v:shape>
        </w:pict>
      </w:r>
    </w:p>
    <w:bookmarkEnd w:id="2"/>
    <w:bookmarkEnd w:id="3"/>
    <w:p w:rsidR="00E638AD" w:rsidRPr="00861791" w:rsidRDefault="00E638AD" w:rsidP="00FC2B50">
      <w:pPr>
        <w:rPr>
          <w:rFonts w:ascii="Arial" w:hAnsi="Arial" w:cs="Arial"/>
          <w:b/>
        </w:rPr>
      </w:pPr>
    </w:p>
    <w:p w:rsidR="003F5CB2" w:rsidRPr="00861791" w:rsidRDefault="007F641B" w:rsidP="00FC2B50">
      <w:pPr>
        <w:rPr>
          <w:rFonts w:ascii="Arial" w:hAnsi="Arial" w:cs="Arial"/>
          <w:b/>
        </w:rPr>
      </w:pPr>
      <w:r w:rsidRPr="00861791">
        <w:rPr>
          <w:rFonts w:ascii="Arial" w:hAnsi="Arial" w:cs="Arial"/>
          <w:b/>
        </w:rPr>
        <w:t>Charts</w:t>
      </w:r>
    </w:p>
    <w:p w:rsidR="009A5AA2" w:rsidRPr="00861791" w:rsidRDefault="004756E6" w:rsidP="009A5AA2">
      <w:pPr>
        <w:ind w:left="1440" w:hanging="1440"/>
        <w:rPr>
          <w:rFonts w:ascii="Arial" w:hAnsi="Arial" w:cs="Arial"/>
        </w:rPr>
      </w:pPr>
      <w:hyperlink w:anchor="Chart1" w:history="1">
        <w:r w:rsidR="007B3933" w:rsidRPr="00861791">
          <w:rPr>
            <w:rStyle w:val="Hyperlink"/>
            <w:rFonts w:ascii="Arial" w:hAnsi="Arial" w:cs="Arial"/>
          </w:rPr>
          <w:t>Chart 1</w:t>
        </w:r>
      </w:hyperlink>
      <w:r w:rsidR="005C653C" w:rsidRPr="00861791">
        <w:rPr>
          <w:rFonts w:ascii="Arial" w:hAnsi="Arial" w:cs="Arial"/>
        </w:rPr>
        <w:tab/>
      </w:r>
      <w:r w:rsidR="00342CE6" w:rsidRPr="00861791">
        <w:rPr>
          <w:rFonts w:ascii="Arial" w:hAnsi="Arial" w:cs="Arial"/>
        </w:rPr>
        <w:t>Number of G</w:t>
      </w:r>
      <w:r w:rsidR="00424413" w:rsidRPr="00861791">
        <w:rPr>
          <w:rFonts w:ascii="Arial" w:hAnsi="Arial" w:cs="Arial"/>
        </w:rPr>
        <w:t>D Assessments lodged,</w:t>
      </w:r>
      <w:r w:rsidR="00342CE6" w:rsidRPr="00861791">
        <w:rPr>
          <w:rFonts w:ascii="Arial" w:hAnsi="Arial" w:cs="Arial"/>
        </w:rPr>
        <w:t xml:space="preserve"> by month</w:t>
      </w:r>
    </w:p>
    <w:p w:rsidR="005C653C" w:rsidRPr="00861791" w:rsidRDefault="004756E6" w:rsidP="005C653C">
      <w:pPr>
        <w:ind w:left="1440" w:hanging="1440"/>
        <w:rPr>
          <w:rFonts w:ascii="Arial" w:hAnsi="Arial" w:cs="Arial"/>
        </w:rPr>
      </w:pPr>
      <w:hyperlink w:anchor="Chart2" w:history="1">
        <w:r w:rsidR="007B3933" w:rsidRPr="00861791">
          <w:rPr>
            <w:rStyle w:val="Hyperlink"/>
            <w:rFonts w:ascii="Arial" w:hAnsi="Arial" w:cs="Arial"/>
          </w:rPr>
          <w:t>Chart 2</w:t>
        </w:r>
      </w:hyperlink>
      <w:r w:rsidR="005C653C" w:rsidRPr="00861791">
        <w:rPr>
          <w:rFonts w:ascii="Arial" w:hAnsi="Arial" w:cs="Arial"/>
        </w:rPr>
        <w:tab/>
      </w:r>
      <w:r w:rsidR="00FE585A" w:rsidRPr="00861791">
        <w:rPr>
          <w:rFonts w:ascii="Arial" w:hAnsi="Arial" w:cs="Arial"/>
        </w:rPr>
        <w:t xml:space="preserve">Development of the </w:t>
      </w:r>
      <w:r w:rsidR="00424413" w:rsidRPr="00861791">
        <w:rPr>
          <w:rFonts w:ascii="Arial" w:hAnsi="Arial" w:cs="Arial"/>
        </w:rPr>
        <w:t>supply chain, cumulative numbers</w:t>
      </w:r>
    </w:p>
    <w:p w:rsidR="00BA095F" w:rsidRPr="00861791" w:rsidRDefault="004756E6" w:rsidP="00BA095F">
      <w:pPr>
        <w:ind w:left="1440" w:hanging="1440"/>
        <w:rPr>
          <w:rFonts w:ascii="Arial" w:hAnsi="Arial" w:cs="Arial"/>
        </w:rPr>
      </w:pPr>
      <w:hyperlink w:anchor="OLE_LINK9" w:history="1">
        <w:r w:rsidR="00BA095F" w:rsidRPr="00861791">
          <w:rPr>
            <w:rStyle w:val="Hyperlink"/>
            <w:rFonts w:ascii="Arial" w:hAnsi="Arial" w:cs="Arial"/>
          </w:rPr>
          <w:t>Chart 3</w:t>
        </w:r>
      </w:hyperlink>
      <w:r w:rsidR="00BA095F" w:rsidRPr="00861791">
        <w:rPr>
          <w:rFonts w:ascii="Arial" w:hAnsi="Arial" w:cs="Arial"/>
        </w:rPr>
        <w:tab/>
      </w:r>
      <w:r w:rsidR="002E3AC5" w:rsidRPr="00861791">
        <w:rPr>
          <w:rFonts w:ascii="Arial" w:hAnsi="Arial" w:cs="Arial"/>
        </w:rPr>
        <w:t>Value of ECO brokerage contracts let, by auction</w:t>
      </w:r>
    </w:p>
    <w:p w:rsidR="00EC55E2" w:rsidRPr="00B42A34" w:rsidRDefault="007F641B" w:rsidP="00A42118">
      <w:pPr>
        <w:spacing w:after="120"/>
        <w:rPr>
          <w:rFonts w:ascii="Arial" w:hAnsi="Arial" w:cs="Arial"/>
          <w:b/>
          <w:highlight w:val="yellow"/>
        </w:rPr>
      </w:pPr>
      <w:r w:rsidRPr="00B42A34">
        <w:rPr>
          <w:rFonts w:ascii="Arial" w:hAnsi="Arial" w:cs="Arial"/>
          <w:b/>
          <w:color w:val="FF0000"/>
          <w:highlight w:val="yellow"/>
        </w:rPr>
        <w:br w:type="page"/>
      </w:r>
      <w:r w:rsidR="00EC55E2" w:rsidRPr="00297706">
        <w:rPr>
          <w:rFonts w:ascii="Arial" w:hAnsi="Arial" w:cs="Arial"/>
          <w:b/>
        </w:rPr>
        <w:lastRenderedPageBreak/>
        <w:t>Background</w:t>
      </w:r>
    </w:p>
    <w:p w:rsidR="00696561" w:rsidRPr="00B42A34" w:rsidRDefault="00696561" w:rsidP="00A42118">
      <w:pPr>
        <w:spacing w:after="120"/>
        <w:rPr>
          <w:rFonts w:ascii="Arial" w:hAnsi="Arial" w:cs="Arial"/>
          <w:highlight w:val="yellow"/>
        </w:rPr>
      </w:pPr>
    </w:p>
    <w:p w:rsidR="00EC55E2" w:rsidRPr="005C1D9D" w:rsidRDefault="00EC55E2" w:rsidP="00EC55E2">
      <w:pPr>
        <w:spacing w:after="0" w:line="240" w:lineRule="auto"/>
        <w:jc w:val="both"/>
        <w:rPr>
          <w:rFonts w:ascii="Arial" w:hAnsi="Arial" w:cs="Arial"/>
          <w:u w:val="single"/>
        </w:rPr>
      </w:pPr>
      <w:r w:rsidRPr="005C1D9D">
        <w:rPr>
          <w:rFonts w:ascii="Arial" w:hAnsi="Arial" w:cs="Arial"/>
          <w:u w:val="single"/>
        </w:rPr>
        <w:t>Green Deal</w:t>
      </w:r>
    </w:p>
    <w:p w:rsidR="00EC55E2" w:rsidRPr="005C1D9D" w:rsidRDefault="00EC55E2" w:rsidP="00EC55E2">
      <w:pPr>
        <w:spacing w:after="0" w:line="240" w:lineRule="auto"/>
        <w:jc w:val="both"/>
        <w:rPr>
          <w:rFonts w:ascii="Arial" w:hAnsi="Arial" w:cs="Arial"/>
        </w:rPr>
      </w:pPr>
    </w:p>
    <w:p w:rsidR="00EC55E2" w:rsidRPr="005C1D9D" w:rsidRDefault="00EC55E2" w:rsidP="00876DA0">
      <w:pPr>
        <w:spacing w:after="0" w:line="240" w:lineRule="auto"/>
        <w:jc w:val="both"/>
        <w:rPr>
          <w:rFonts w:ascii="Arial" w:hAnsi="Arial" w:cs="Arial"/>
        </w:rPr>
      </w:pPr>
      <w:r w:rsidRPr="005C1D9D">
        <w:rPr>
          <w:rFonts w:ascii="Arial" w:hAnsi="Arial" w:cs="Arial"/>
        </w:rPr>
        <w:t xml:space="preserve">The </w:t>
      </w:r>
      <w:hyperlink r:id="rId9" w:history="1">
        <w:r w:rsidR="008B0973" w:rsidRPr="005C1D9D">
          <w:rPr>
            <w:rStyle w:val="Hyperlink"/>
            <w:rFonts w:ascii="Arial" w:hAnsi="Arial" w:cs="Arial"/>
          </w:rPr>
          <w:t>Green Deal</w:t>
        </w:r>
      </w:hyperlink>
      <w:r w:rsidRPr="005C1D9D">
        <w:rPr>
          <w:rFonts w:ascii="Arial" w:hAnsi="Arial" w:cs="Arial"/>
          <w:b/>
        </w:rPr>
        <w:t xml:space="preserve"> </w:t>
      </w:r>
      <w:r w:rsidRPr="005C1D9D">
        <w:rPr>
          <w:rFonts w:ascii="Arial" w:hAnsi="Arial" w:cs="Arial"/>
        </w:rPr>
        <w:t>(GD) was launched on 28 January 2013 in England and Wales (and on 25 Fe</w:t>
      </w:r>
      <w:r w:rsidR="00876DA0" w:rsidRPr="005C1D9D">
        <w:rPr>
          <w:rFonts w:ascii="Arial" w:hAnsi="Arial" w:cs="Arial"/>
        </w:rPr>
        <w:t>bruary</w:t>
      </w:r>
      <w:r w:rsidRPr="005C1D9D">
        <w:rPr>
          <w:rFonts w:ascii="Arial" w:hAnsi="Arial" w:cs="Arial"/>
        </w:rPr>
        <w:t xml:space="preserve"> in Scotland) and will tackle a number of the key barriers to the take-up of energy efficiency measures.</w:t>
      </w:r>
      <w:r w:rsidR="000033F6" w:rsidRPr="005C1D9D">
        <w:rPr>
          <w:rFonts w:ascii="Arial" w:hAnsi="Arial" w:cs="Arial"/>
        </w:rPr>
        <w:t xml:space="preserve"> </w:t>
      </w:r>
    </w:p>
    <w:p w:rsidR="00F47F10" w:rsidRPr="005C1D9D" w:rsidRDefault="00F47F10" w:rsidP="00876DA0">
      <w:pPr>
        <w:spacing w:after="0" w:line="240" w:lineRule="auto"/>
        <w:jc w:val="both"/>
        <w:rPr>
          <w:rFonts w:ascii="Arial" w:hAnsi="Arial" w:cs="Arial"/>
        </w:rPr>
      </w:pPr>
    </w:p>
    <w:p w:rsidR="00F47F10" w:rsidRPr="005C1D9D" w:rsidRDefault="00F47F10" w:rsidP="00F47F10">
      <w:pPr>
        <w:spacing w:line="240" w:lineRule="auto"/>
        <w:jc w:val="both"/>
        <w:rPr>
          <w:rFonts w:ascii="Arial" w:hAnsi="Arial" w:cs="Arial"/>
        </w:rPr>
      </w:pPr>
      <w:r w:rsidRPr="005C1D9D">
        <w:rPr>
          <w:rFonts w:ascii="Arial" w:hAnsi="Arial" w:cs="Arial"/>
        </w:rPr>
        <w:t>Customers having Green Deal Assessments undertaken have the choice of how they proceed. They might take the view that their home is sufficiently energy efficient, or that they want to finance work through a Green Deal Plan or that they want to use alternative funding arrangements (e.g. use of savings).</w:t>
      </w:r>
    </w:p>
    <w:p w:rsidR="00EC55E2" w:rsidRPr="00C95C92" w:rsidRDefault="00F47F10" w:rsidP="00F47F10">
      <w:pPr>
        <w:spacing w:line="240" w:lineRule="auto"/>
        <w:jc w:val="both"/>
        <w:rPr>
          <w:rFonts w:ascii="Arial" w:hAnsi="Arial" w:cs="Arial"/>
        </w:rPr>
      </w:pPr>
      <w:r w:rsidRPr="004E25A9">
        <w:rPr>
          <w:rFonts w:ascii="Arial" w:hAnsi="Arial" w:cs="Arial"/>
        </w:rPr>
        <w:t>In order to understand the flow from Green Deal Assessments to Plans through to measures installed we will need to incorporate, link and quality assure evidence from a range of sources. As a result</w:t>
      </w:r>
      <w:r w:rsidR="00C95C92" w:rsidRPr="004E25A9">
        <w:rPr>
          <w:rFonts w:ascii="Arial" w:hAnsi="Arial" w:cs="Arial"/>
        </w:rPr>
        <w:t>,</w:t>
      </w:r>
      <w:r w:rsidRPr="004E25A9">
        <w:rPr>
          <w:rFonts w:ascii="Arial" w:hAnsi="Arial" w:cs="Arial"/>
        </w:rPr>
        <w:t xml:space="preserve"> </w:t>
      </w:r>
      <w:r w:rsidR="008F0F5E" w:rsidRPr="004E25A9">
        <w:rPr>
          <w:rFonts w:ascii="Arial" w:eastAsia="Times New Roman" w:hAnsi="Arial" w:cs="Arial"/>
          <w:lang w:eastAsia="en-GB"/>
        </w:rPr>
        <w:t>data on Green Deal Plans</w:t>
      </w:r>
      <w:r w:rsidRPr="004E25A9">
        <w:rPr>
          <w:rFonts w:ascii="Arial" w:eastAsia="Times New Roman" w:hAnsi="Arial" w:cs="Arial"/>
          <w:lang w:eastAsia="en-GB"/>
        </w:rPr>
        <w:t xml:space="preserve"> and measures installed under Green Deal and/or ECO are not yet available for publication as time is needed for this quality assurance. </w:t>
      </w:r>
      <w:r w:rsidR="00C95C92" w:rsidRPr="004E25A9">
        <w:rPr>
          <w:rFonts w:ascii="Arial" w:eastAsia="Times New Roman" w:hAnsi="Arial" w:cs="Arial"/>
          <w:lang w:eastAsia="en-GB"/>
        </w:rPr>
        <w:t xml:space="preserve">This information will be published for the first time on </w:t>
      </w:r>
      <w:r w:rsidR="00C95C92" w:rsidRPr="00D22BB2">
        <w:rPr>
          <w:rFonts w:ascii="Arial" w:eastAsia="Times New Roman" w:hAnsi="Arial" w:cs="Arial"/>
          <w:b/>
          <w:lang w:eastAsia="en-GB"/>
        </w:rPr>
        <w:t>2</w:t>
      </w:r>
      <w:r w:rsidR="00D22BB2" w:rsidRPr="00D22BB2">
        <w:rPr>
          <w:rFonts w:ascii="Arial" w:eastAsia="Times New Roman" w:hAnsi="Arial" w:cs="Arial"/>
          <w:b/>
          <w:lang w:eastAsia="en-GB"/>
        </w:rPr>
        <w:t>7</w:t>
      </w:r>
      <w:r w:rsidR="00C95C92" w:rsidRPr="00D22BB2">
        <w:rPr>
          <w:rFonts w:ascii="Arial" w:eastAsia="Times New Roman" w:hAnsi="Arial" w:cs="Arial"/>
          <w:b/>
          <w:lang w:eastAsia="en-GB"/>
        </w:rPr>
        <w:t xml:space="preserve"> June 2013</w:t>
      </w:r>
      <w:r w:rsidR="00C95C92" w:rsidRPr="004E25A9">
        <w:rPr>
          <w:rFonts w:ascii="Arial" w:eastAsia="Times New Roman" w:hAnsi="Arial" w:cs="Arial"/>
          <w:lang w:eastAsia="en-GB"/>
        </w:rPr>
        <w:t>.</w:t>
      </w:r>
    </w:p>
    <w:p w:rsidR="00EC55E2" w:rsidRPr="005C1D9D" w:rsidRDefault="00876DA0" w:rsidP="00876DA0">
      <w:pPr>
        <w:spacing w:after="0" w:line="240" w:lineRule="auto"/>
        <w:jc w:val="both"/>
        <w:rPr>
          <w:rFonts w:ascii="Arial" w:hAnsi="Arial" w:cs="Arial"/>
        </w:rPr>
      </w:pPr>
      <w:bookmarkStart w:id="7" w:name="OLE_LINK17"/>
      <w:bookmarkStart w:id="8" w:name="OLE_LINK18"/>
      <w:r w:rsidRPr="005C1D9D">
        <w:rPr>
          <w:rFonts w:ascii="Arial" w:hAnsi="Arial" w:cs="Arial"/>
        </w:rPr>
        <w:t>The Green Deal p</w:t>
      </w:r>
      <w:r w:rsidR="00EC55E2" w:rsidRPr="005C1D9D">
        <w:rPr>
          <w:rFonts w:ascii="Arial" w:hAnsi="Arial" w:cs="Arial"/>
        </w:rPr>
        <w:t>rocess for households is briefly described below:</w:t>
      </w:r>
    </w:p>
    <w:p w:rsidR="00EC55E2" w:rsidRPr="005C1D9D" w:rsidRDefault="00EC55E2" w:rsidP="00876DA0">
      <w:pPr>
        <w:spacing w:after="0" w:line="240" w:lineRule="auto"/>
        <w:jc w:val="both"/>
        <w:rPr>
          <w:rFonts w:ascii="Arial" w:hAnsi="Arial" w:cs="Arial"/>
        </w:rPr>
      </w:pPr>
    </w:p>
    <w:p w:rsidR="00EC55E2" w:rsidRPr="005C1D9D" w:rsidRDefault="00EC55E2" w:rsidP="00876DA0">
      <w:pPr>
        <w:spacing w:after="0" w:line="240" w:lineRule="auto"/>
        <w:jc w:val="both"/>
        <w:rPr>
          <w:rFonts w:ascii="Arial" w:hAnsi="Arial" w:cs="Arial"/>
        </w:rPr>
      </w:pPr>
      <w:r w:rsidRPr="005C1D9D">
        <w:rPr>
          <w:rFonts w:ascii="Arial" w:hAnsi="Arial" w:cs="Arial"/>
        </w:rPr>
        <w:t>Step 1 – Assessment – A Green Deal assessor will come to the home, talk to the owner/occupier about their energy use and see if they can benefit from making energy effici</w:t>
      </w:r>
      <w:r w:rsidR="00876DA0" w:rsidRPr="005C1D9D">
        <w:rPr>
          <w:rFonts w:ascii="Arial" w:hAnsi="Arial" w:cs="Arial"/>
        </w:rPr>
        <w:t>ency improvements to their property</w:t>
      </w:r>
      <w:r w:rsidRPr="005C1D9D">
        <w:rPr>
          <w:rFonts w:ascii="Arial" w:hAnsi="Arial" w:cs="Arial"/>
        </w:rPr>
        <w:t>.</w:t>
      </w:r>
    </w:p>
    <w:p w:rsidR="00EC55E2" w:rsidRPr="005C1D9D" w:rsidRDefault="00EC55E2" w:rsidP="00876DA0">
      <w:pPr>
        <w:spacing w:after="0" w:line="240" w:lineRule="auto"/>
        <w:jc w:val="both"/>
        <w:rPr>
          <w:rFonts w:ascii="Arial" w:hAnsi="Arial" w:cs="Arial"/>
        </w:rPr>
      </w:pPr>
    </w:p>
    <w:p w:rsidR="00EC55E2" w:rsidRPr="005C1D9D" w:rsidRDefault="00EC55E2" w:rsidP="00876DA0">
      <w:pPr>
        <w:spacing w:after="0" w:line="240" w:lineRule="auto"/>
        <w:jc w:val="both"/>
        <w:rPr>
          <w:rFonts w:ascii="Arial" w:hAnsi="Arial" w:cs="Arial"/>
        </w:rPr>
      </w:pPr>
      <w:r w:rsidRPr="005C1D9D">
        <w:rPr>
          <w:rFonts w:ascii="Arial" w:hAnsi="Arial" w:cs="Arial"/>
        </w:rPr>
        <w:t>Step 2 - Recommendations – The assessor will recommend improvements that are appropriate for the property and indicate whether they are expected to pay for themselves through reduced energy bills.</w:t>
      </w:r>
    </w:p>
    <w:p w:rsidR="00EC55E2" w:rsidRPr="005C1D9D" w:rsidRDefault="00EC55E2" w:rsidP="00876DA0">
      <w:pPr>
        <w:spacing w:after="0" w:line="240" w:lineRule="auto"/>
        <w:jc w:val="both"/>
        <w:rPr>
          <w:rFonts w:ascii="Arial" w:hAnsi="Arial" w:cs="Arial"/>
        </w:rPr>
      </w:pPr>
    </w:p>
    <w:p w:rsidR="00696561" w:rsidRPr="005C1D9D" w:rsidRDefault="00696561" w:rsidP="007F55B5">
      <w:pPr>
        <w:spacing w:after="0" w:line="240" w:lineRule="auto"/>
        <w:jc w:val="both"/>
        <w:rPr>
          <w:rFonts w:ascii="Arial" w:hAnsi="Arial" w:cs="Arial"/>
        </w:rPr>
      </w:pPr>
      <w:r w:rsidRPr="005C1D9D">
        <w:rPr>
          <w:rFonts w:ascii="Arial" w:hAnsi="Arial" w:cs="Arial"/>
        </w:rPr>
        <w:t>Step 3 – Quotes – Green Deal Providers will discuss with the owner/occupier whether a Green Deal Plan is right for them and quote for the recommended improvements, including the savings estimates, savings period, first year instalments and payment period for each improvement. A number of quotes can be obtained.</w:t>
      </w:r>
    </w:p>
    <w:p w:rsidR="00696561" w:rsidRPr="005C1D9D" w:rsidRDefault="00696561" w:rsidP="007F55B5">
      <w:pPr>
        <w:spacing w:after="0" w:line="240" w:lineRule="auto"/>
        <w:jc w:val="both"/>
        <w:rPr>
          <w:rFonts w:ascii="Arial" w:hAnsi="Arial" w:cs="Arial"/>
        </w:rPr>
      </w:pPr>
    </w:p>
    <w:p w:rsidR="00EC55E2" w:rsidRPr="005C1D9D" w:rsidRDefault="00696561" w:rsidP="007F55B5">
      <w:pPr>
        <w:spacing w:after="0" w:line="240" w:lineRule="auto"/>
        <w:jc w:val="both"/>
        <w:rPr>
          <w:rFonts w:ascii="Arial" w:hAnsi="Arial" w:cs="Arial"/>
        </w:rPr>
      </w:pPr>
      <w:r w:rsidRPr="005C1D9D">
        <w:rPr>
          <w:rFonts w:ascii="Arial" w:hAnsi="Arial" w:cs="Arial"/>
        </w:rPr>
        <w:t>Step 4 – Signing a plan – The customer chooses to proceed with a given provider and package of measures. The owner/occupier needs to obtain the necessary consent to make improvements to the property before they can agree terms with the GD Provider of a Green Deal Plan</w:t>
      </w:r>
      <w:r w:rsidR="00E47442" w:rsidRPr="005C1D9D">
        <w:rPr>
          <w:rStyle w:val="FootnoteReference"/>
          <w:rFonts w:ascii="Arial" w:hAnsi="Arial" w:cs="Arial"/>
        </w:rPr>
        <w:footnoteReference w:id="1"/>
      </w:r>
      <w:r w:rsidR="00EF0879" w:rsidRPr="005C1D9D">
        <w:rPr>
          <w:rFonts w:ascii="Arial" w:hAnsi="Arial" w:cs="Arial"/>
        </w:rPr>
        <w:t>, at which stage they</w:t>
      </w:r>
      <w:r w:rsidR="00DA4CD3" w:rsidRPr="005C1D9D">
        <w:rPr>
          <w:rFonts w:ascii="Arial" w:hAnsi="Arial" w:cs="Arial"/>
        </w:rPr>
        <w:t xml:space="preserve"> enter a cooling-off period</w:t>
      </w:r>
      <w:r w:rsidR="00AF316A" w:rsidRPr="005C1D9D">
        <w:rPr>
          <w:rStyle w:val="FootnoteReference"/>
          <w:rFonts w:ascii="Arial" w:hAnsi="Arial" w:cs="Arial"/>
        </w:rPr>
        <w:footnoteReference w:id="2"/>
      </w:r>
      <w:r w:rsidR="00275E8C" w:rsidRPr="005C1D9D">
        <w:rPr>
          <w:rFonts w:ascii="Arial" w:hAnsi="Arial" w:cs="Arial"/>
        </w:rPr>
        <w:t>.</w:t>
      </w:r>
    </w:p>
    <w:p w:rsidR="00EC55E2" w:rsidRPr="005C1D9D" w:rsidRDefault="00EC55E2" w:rsidP="00876DA0">
      <w:pPr>
        <w:spacing w:after="0" w:line="240" w:lineRule="auto"/>
        <w:jc w:val="both"/>
        <w:rPr>
          <w:rFonts w:ascii="Arial" w:hAnsi="Arial" w:cs="Arial"/>
        </w:rPr>
      </w:pPr>
    </w:p>
    <w:p w:rsidR="004778A9" w:rsidRPr="005C1D9D" w:rsidRDefault="00EC55E2" w:rsidP="004778A9">
      <w:pPr>
        <w:spacing w:after="0" w:line="240" w:lineRule="auto"/>
        <w:jc w:val="both"/>
        <w:rPr>
          <w:rFonts w:ascii="Arial" w:hAnsi="Arial" w:cs="Arial"/>
        </w:rPr>
      </w:pPr>
      <w:r w:rsidRPr="005C1D9D">
        <w:rPr>
          <w:rFonts w:ascii="Arial" w:hAnsi="Arial" w:cs="Arial"/>
        </w:rPr>
        <w:t xml:space="preserve">Step </w:t>
      </w:r>
      <w:r w:rsidR="00696561" w:rsidRPr="005C1D9D">
        <w:rPr>
          <w:rFonts w:ascii="Arial" w:hAnsi="Arial" w:cs="Arial"/>
        </w:rPr>
        <w:t>5</w:t>
      </w:r>
      <w:r w:rsidRPr="005C1D9D">
        <w:rPr>
          <w:rFonts w:ascii="Arial" w:hAnsi="Arial" w:cs="Arial"/>
        </w:rPr>
        <w:t xml:space="preserve"> – Installation – Once a Green Deal Plan has been agreed, the Provider will arrange for the improvements to be made by a Green Deal Installer.</w:t>
      </w:r>
      <w:r w:rsidR="004778A9" w:rsidRPr="005C1D9D">
        <w:rPr>
          <w:rFonts w:ascii="Arial" w:hAnsi="Arial" w:cs="Arial"/>
        </w:rPr>
        <w:t xml:space="preserve"> </w:t>
      </w:r>
      <w:r w:rsidR="00696561" w:rsidRPr="005C1D9D">
        <w:rPr>
          <w:rFonts w:ascii="Arial" w:hAnsi="Arial" w:cs="Arial"/>
        </w:rPr>
        <w:t xml:space="preserve">Once the </w:t>
      </w:r>
      <w:r w:rsidR="006E6E24" w:rsidRPr="005C1D9D">
        <w:rPr>
          <w:rFonts w:ascii="Arial" w:hAnsi="Arial" w:cs="Arial"/>
        </w:rPr>
        <w:t>installation has been completed</w:t>
      </w:r>
      <w:r w:rsidR="00696561" w:rsidRPr="005C1D9D">
        <w:rPr>
          <w:rFonts w:ascii="Arial" w:hAnsi="Arial" w:cs="Arial"/>
        </w:rPr>
        <w:t xml:space="preserve"> a letter is </w:t>
      </w:r>
      <w:r w:rsidR="004778A9" w:rsidRPr="005C1D9D">
        <w:rPr>
          <w:rFonts w:ascii="Arial" w:hAnsi="Arial" w:cs="Arial"/>
        </w:rPr>
        <w:t xml:space="preserve">sent to the Bill Payer and, at this stage, the Green Deal Plan goes ‘live’. </w:t>
      </w:r>
    </w:p>
    <w:p w:rsidR="00EC55E2" w:rsidRPr="005C1D9D" w:rsidRDefault="00EC55E2" w:rsidP="00876DA0">
      <w:pPr>
        <w:spacing w:after="0" w:line="240" w:lineRule="auto"/>
        <w:jc w:val="both"/>
        <w:rPr>
          <w:rFonts w:ascii="Arial" w:hAnsi="Arial" w:cs="Arial"/>
        </w:rPr>
      </w:pPr>
    </w:p>
    <w:p w:rsidR="004778A9" w:rsidRPr="005C1D9D" w:rsidRDefault="00EC55E2" w:rsidP="00876DA0">
      <w:pPr>
        <w:spacing w:after="0" w:line="240" w:lineRule="auto"/>
        <w:jc w:val="both"/>
        <w:rPr>
          <w:rFonts w:ascii="Arial" w:hAnsi="Arial" w:cs="Arial"/>
        </w:rPr>
      </w:pPr>
      <w:r w:rsidRPr="005C1D9D">
        <w:rPr>
          <w:rFonts w:ascii="Arial" w:hAnsi="Arial" w:cs="Arial"/>
        </w:rPr>
        <w:t>Repayments will be no more than what a typical household should save in energy costs</w:t>
      </w:r>
      <w:r w:rsidR="004778A9" w:rsidRPr="005C1D9D">
        <w:rPr>
          <w:rFonts w:ascii="Arial" w:hAnsi="Arial" w:cs="Arial"/>
        </w:rPr>
        <w:t>.</w:t>
      </w:r>
    </w:p>
    <w:bookmarkEnd w:id="7"/>
    <w:bookmarkEnd w:id="8"/>
    <w:p w:rsidR="00696561" w:rsidRPr="005C1D9D" w:rsidRDefault="00DA4CD3" w:rsidP="006E6E24">
      <w:pPr>
        <w:spacing w:after="0" w:line="240" w:lineRule="auto"/>
        <w:jc w:val="both"/>
        <w:rPr>
          <w:rFonts w:ascii="Arial" w:hAnsi="Arial" w:cs="Arial"/>
        </w:rPr>
      </w:pPr>
      <w:r w:rsidRPr="005C1D9D">
        <w:rPr>
          <w:rFonts w:ascii="Arial" w:hAnsi="Arial" w:cs="Arial"/>
        </w:rPr>
        <w:t xml:space="preserve"> </w:t>
      </w:r>
    </w:p>
    <w:p w:rsidR="006E6E24" w:rsidRPr="005C1D9D" w:rsidRDefault="006E6E24" w:rsidP="006E6E24">
      <w:pPr>
        <w:spacing w:after="0" w:line="240" w:lineRule="auto"/>
        <w:jc w:val="both"/>
        <w:rPr>
          <w:rFonts w:ascii="Arial" w:hAnsi="Arial" w:cs="Arial"/>
        </w:rPr>
      </w:pPr>
    </w:p>
    <w:p w:rsidR="006E6E24" w:rsidRPr="005C1D9D" w:rsidRDefault="006E6E24" w:rsidP="006E6E24">
      <w:pPr>
        <w:spacing w:after="0" w:line="240" w:lineRule="auto"/>
        <w:jc w:val="both"/>
        <w:rPr>
          <w:rFonts w:ascii="Arial" w:hAnsi="Arial" w:cs="Arial"/>
        </w:rPr>
      </w:pPr>
    </w:p>
    <w:p w:rsidR="006E6E24" w:rsidRPr="00B42A34" w:rsidRDefault="006E6E24" w:rsidP="006E6E24">
      <w:pPr>
        <w:spacing w:after="0" w:line="240" w:lineRule="auto"/>
        <w:jc w:val="both"/>
        <w:rPr>
          <w:rFonts w:ascii="Arial" w:hAnsi="Arial" w:cs="Arial"/>
          <w:highlight w:val="yellow"/>
        </w:rPr>
      </w:pPr>
    </w:p>
    <w:p w:rsidR="00EC55E2" w:rsidRPr="005C1D9D" w:rsidRDefault="00EC55E2" w:rsidP="00876DA0">
      <w:pPr>
        <w:pStyle w:val="NormalWeb"/>
        <w:jc w:val="both"/>
        <w:rPr>
          <w:rFonts w:ascii="Arial" w:hAnsi="Arial" w:cs="Arial"/>
          <w:sz w:val="22"/>
          <w:szCs w:val="22"/>
          <w:u w:val="single"/>
        </w:rPr>
      </w:pPr>
      <w:r w:rsidRPr="005C1D9D">
        <w:rPr>
          <w:rFonts w:ascii="Arial" w:hAnsi="Arial" w:cs="Arial"/>
          <w:sz w:val="22"/>
          <w:szCs w:val="22"/>
          <w:u w:val="single"/>
        </w:rPr>
        <w:lastRenderedPageBreak/>
        <w:t>Energy Company Obligation</w:t>
      </w:r>
    </w:p>
    <w:p w:rsidR="00EC55E2" w:rsidRPr="005C1D9D" w:rsidRDefault="00EC55E2" w:rsidP="00876DA0">
      <w:pPr>
        <w:pStyle w:val="NormalWeb"/>
        <w:jc w:val="both"/>
        <w:rPr>
          <w:rFonts w:ascii="Arial" w:hAnsi="Arial" w:cs="Arial"/>
          <w:sz w:val="22"/>
          <w:szCs w:val="22"/>
        </w:rPr>
      </w:pPr>
    </w:p>
    <w:p w:rsidR="00EC55E2" w:rsidRPr="005C1D9D" w:rsidRDefault="00EC55E2" w:rsidP="00876DA0">
      <w:pPr>
        <w:pStyle w:val="NormalWeb"/>
        <w:jc w:val="both"/>
        <w:rPr>
          <w:rFonts w:ascii="Arial" w:hAnsi="Arial" w:cs="Arial"/>
          <w:color w:val="000000" w:themeColor="text1"/>
          <w:sz w:val="22"/>
          <w:szCs w:val="22"/>
        </w:rPr>
      </w:pPr>
      <w:r w:rsidRPr="005C1D9D">
        <w:rPr>
          <w:rFonts w:ascii="Arial" w:hAnsi="Arial" w:cs="Arial"/>
          <w:sz w:val="22"/>
          <w:szCs w:val="22"/>
        </w:rPr>
        <w:t xml:space="preserve">The </w:t>
      </w:r>
      <w:hyperlink r:id="rId10" w:history="1">
        <w:r w:rsidRPr="005C1D9D">
          <w:rPr>
            <w:rStyle w:val="Hyperlink"/>
            <w:rFonts w:ascii="Arial" w:hAnsi="Arial" w:cs="Arial"/>
            <w:sz w:val="22"/>
            <w:szCs w:val="22"/>
          </w:rPr>
          <w:t>Energy Company Obligation</w:t>
        </w:r>
      </w:hyperlink>
      <w:r w:rsidRPr="005C1D9D">
        <w:rPr>
          <w:rFonts w:ascii="Arial" w:hAnsi="Arial" w:cs="Arial"/>
          <w:sz w:val="22"/>
          <w:szCs w:val="22"/>
        </w:rPr>
        <w:t xml:space="preserve"> (ECO) started on 1 January 2013 (although energy </w:t>
      </w:r>
      <w:r w:rsidRPr="005C1D9D">
        <w:rPr>
          <w:rFonts w:ascii="Arial" w:hAnsi="Arial" w:cs="Arial"/>
          <w:color w:val="000000" w:themeColor="text1"/>
          <w:sz w:val="22"/>
          <w:szCs w:val="22"/>
        </w:rPr>
        <w:t>companies have been able to deliver against their targets since 1 October 2012) and runs to 31 March 2015. It replaces two previous schemes (</w:t>
      </w:r>
      <w:r w:rsidR="00876DA0" w:rsidRPr="005C1D9D">
        <w:rPr>
          <w:rFonts w:ascii="Arial" w:hAnsi="Arial" w:cs="Arial"/>
          <w:color w:val="000000" w:themeColor="text1"/>
          <w:sz w:val="22"/>
          <w:szCs w:val="22"/>
        </w:rPr>
        <w:t xml:space="preserve">Carbon Emissions Reduction Target </w:t>
      </w:r>
      <w:r w:rsidR="00BC7763" w:rsidRPr="005C1D9D">
        <w:rPr>
          <w:rFonts w:ascii="Arial" w:hAnsi="Arial" w:cs="Arial"/>
          <w:color w:val="000000" w:themeColor="text1"/>
          <w:sz w:val="22"/>
          <w:szCs w:val="22"/>
        </w:rPr>
        <w:t xml:space="preserve">- </w:t>
      </w:r>
      <w:r w:rsidRPr="005C1D9D">
        <w:rPr>
          <w:rFonts w:ascii="Arial" w:hAnsi="Arial" w:cs="Arial"/>
          <w:color w:val="000000" w:themeColor="text1"/>
          <w:sz w:val="22"/>
          <w:szCs w:val="22"/>
        </w:rPr>
        <w:t xml:space="preserve">CERT </w:t>
      </w:r>
      <w:r w:rsidR="00BC7763" w:rsidRPr="005C1D9D">
        <w:rPr>
          <w:rFonts w:ascii="Arial" w:hAnsi="Arial" w:cs="Arial"/>
          <w:color w:val="000000" w:themeColor="text1"/>
          <w:sz w:val="22"/>
          <w:szCs w:val="22"/>
        </w:rPr>
        <w:t xml:space="preserve">- </w:t>
      </w:r>
      <w:r w:rsidRPr="005C1D9D">
        <w:rPr>
          <w:rFonts w:ascii="Arial" w:hAnsi="Arial" w:cs="Arial"/>
          <w:color w:val="000000" w:themeColor="text1"/>
          <w:sz w:val="22"/>
          <w:szCs w:val="22"/>
        </w:rPr>
        <w:t>and</w:t>
      </w:r>
      <w:r w:rsidR="00876DA0" w:rsidRPr="005C1D9D">
        <w:rPr>
          <w:rFonts w:ascii="Arial" w:hAnsi="Arial" w:cs="Arial"/>
          <w:color w:val="000000" w:themeColor="text1"/>
          <w:sz w:val="22"/>
          <w:szCs w:val="22"/>
        </w:rPr>
        <w:t xml:space="preserve"> Community Energy Saving Programme</w:t>
      </w:r>
      <w:r w:rsidRPr="005C1D9D">
        <w:rPr>
          <w:rFonts w:ascii="Arial" w:hAnsi="Arial" w:cs="Arial"/>
          <w:color w:val="000000" w:themeColor="text1"/>
          <w:sz w:val="22"/>
          <w:szCs w:val="22"/>
        </w:rPr>
        <w:t xml:space="preserve"> </w:t>
      </w:r>
      <w:r w:rsidR="00BC7763" w:rsidRPr="005C1D9D">
        <w:rPr>
          <w:rFonts w:ascii="Arial" w:hAnsi="Arial" w:cs="Arial"/>
          <w:color w:val="000000" w:themeColor="text1"/>
          <w:sz w:val="22"/>
          <w:szCs w:val="22"/>
        </w:rPr>
        <w:t xml:space="preserve">- </w:t>
      </w:r>
      <w:r w:rsidRPr="005C1D9D">
        <w:rPr>
          <w:rFonts w:ascii="Arial" w:hAnsi="Arial" w:cs="Arial"/>
          <w:color w:val="000000" w:themeColor="text1"/>
          <w:sz w:val="22"/>
          <w:szCs w:val="22"/>
        </w:rPr>
        <w:t>CESP) and focuses on providing energy efficiency measures to low income and vulnerable consumers and those living in 'hard</w:t>
      </w:r>
      <w:r w:rsidR="00BC7763" w:rsidRPr="005C1D9D">
        <w:rPr>
          <w:rFonts w:ascii="Arial" w:hAnsi="Arial" w:cs="Arial"/>
          <w:color w:val="000000" w:themeColor="text1"/>
          <w:sz w:val="22"/>
          <w:szCs w:val="22"/>
        </w:rPr>
        <w:t>-to-</w:t>
      </w:r>
      <w:r w:rsidRPr="005C1D9D">
        <w:rPr>
          <w:rFonts w:ascii="Arial" w:hAnsi="Arial" w:cs="Arial"/>
          <w:color w:val="000000" w:themeColor="text1"/>
          <w:sz w:val="22"/>
          <w:szCs w:val="22"/>
        </w:rPr>
        <w:t xml:space="preserve">treat' properties. It does this by funding energy efficiency improvements </w:t>
      </w:r>
      <w:r w:rsidR="005571EF" w:rsidRPr="005C1D9D">
        <w:rPr>
          <w:rFonts w:ascii="Arial" w:hAnsi="Arial" w:cs="Arial"/>
          <w:color w:val="000000" w:themeColor="text1"/>
          <w:sz w:val="22"/>
          <w:szCs w:val="22"/>
        </w:rPr>
        <w:t xml:space="preserve">through supplier obligations </w:t>
      </w:r>
      <w:r w:rsidRPr="005C1D9D">
        <w:rPr>
          <w:rFonts w:ascii="Arial" w:hAnsi="Arial" w:cs="Arial"/>
          <w:color w:val="000000" w:themeColor="text1"/>
          <w:sz w:val="22"/>
          <w:szCs w:val="22"/>
        </w:rPr>
        <w:t>worth around £1.3 billion every year.</w:t>
      </w:r>
    </w:p>
    <w:p w:rsidR="00EC55E2" w:rsidRPr="005C1D9D" w:rsidRDefault="00EC55E2" w:rsidP="00876DA0">
      <w:pPr>
        <w:pStyle w:val="NormalWeb"/>
        <w:jc w:val="both"/>
        <w:rPr>
          <w:rFonts w:ascii="Arial" w:hAnsi="Arial" w:cs="Arial"/>
          <w:color w:val="FF0000"/>
          <w:sz w:val="22"/>
          <w:szCs w:val="22"/>
        </w:rPr>
      </w:pPr>
    </w:p>
    <w:p w:rsidR="00EC55E2" w:rsidRPr="005C1D9D" w:rsidRDefault="00EC55E2" w:rsidP="00876DA0">
      <w:pPr>
        <w:pStyle w:val="NormalWeb"/>
        <w:jc w:val="both"/>
        <w:rPr>
          <w:rFonts w:ascii="Arial" w:hAnsi="Arial" w:cs="Arial"/>
          <w:color w:val="000000" w:themeColor="text1"/>
          <w:sz w:val="22"/>
          <w:szCs w:val="22"/>
        </w:rPr>
      </w:pPr>
      <w:r w:rsidRPr="005C1D9D">
        <w:rPr>
          <w:rFonts w:ascii="Arial" w:hAnsi="Arial" w:cs="Arial"/>
          <w:color w:val="000000" w:themeColor="text1"/>
          <w:sz w:val="22"/>
          <w:szCs w:val="22"/>
        </w:rPr>
        <w:t xml:space="preserve">There are three elements to ECO – The Carbon Saving Obligation; Carbon Saving Communities and Affordable Warmth. </w:t>
      </w:r>
      <w:r w:rsidR="005571EF" w:rsidRPr="005C1D9D">
        <w:rPr>
          <w:rFonts w:ascii="Arial" w:hAnsi="Arial" w:cs="Arial"/>
          <w:color w:val="000000" w:themeColor="text1"/>
          <w:sz w:val="22"/>
          <w:szCs w:val="22"/>
        </w:rPr>
        <w:t xml:space="preserve">The ECO Carbon Saving Obligation is worth around £760 million per year. </w:t>
      </w:r>
      <w:r w:rsidRPr="005C1D9D">
        <w:rPr>
          <w:rFonts w:ascii="Arial" w:hAnsi="Arial" w:cs="Arial"/>
          <w:color w:val="000000" w:themeColor="text1"/>
          <w:sz w:val="22"/>
          <w:szCs w:val="22"/>
        </w:rPr>
        <w:t xml:space="preserve">The </w:t>
      </w:r>
      <w:r w:rsidR="005571EF" w:rsidRPr="005C1D9D">
        <w:rPr>
          <w:rFonts w:ascii="Arial" w:hAnsi="Arial" w:cs="Arial"/>
          <w:color w:val="000000" w:themeColor="text1"/>
          <w:sz w:val="22"/>
          <w:szCs w:val="22"/>
        </w:rPr>
        <w:t xml:space="preserve">Carbon Saving Community Obligation and ECO </w:t>
      </w:r>
      <w:r w:rsidRPr="005C1D9D">
        <w:rPr>
          <w:rFonts w:ascii="Arial" w:hAnsi="Arial" w:cs="Arial"/>
          <w:color w:val="000000" w:themeColor="text1"/>
          <w:sz w:val="22"/>
          <w:szCs w:val="22"/>
        </w:rPr>
        <w:t xml:space="preserve">Affordable Warmth will provide support worth around £540 million per year to low-income households. </w:t>
      </w:r>
    </w:p>
    <w:p w:rsidR="00EC55E2" w:rsidRPr="005C1D9D" w:rsidRDefault="00EC55E2" w:rsidP="00876DA0">
      <w:pPr>
        <w:pStyle w:val="NormalWeb"/>
        <w:spacing w:line="270" w:lineRule="atLeast"/>
        <w:jc w:val="both"/>
        <w:rPr>
          <w:rFonts w:ascii="Arial" w:hAnsi="Arial" w:cs="Arial"/>
          <w:sz w:val="22"/>
          <w:szCs w:val="22"/>
        </w:rPr>
      </w:pPr>
    </w:p>
    <w:p w:rsidR="00EC55E2" w:rsidRPr="005C1D9D" w:rsidRDefault="00EC55E2" w:rsidP="00876DA0">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Obligation</w:t>
      </w:r>
      <w:r w:rsidRPr="005C1D9D">
        <w:rPr>
          <w:rFonts w:ascii="Arial" w:hAnsi="Arial" w:cs="Arial"/>
          <w:sz w:val="22"/>
          <w:szCs w:val="22"/>
        </w:rPr>
        <w:t xml:space="preserve"> - This covers the installation of measures like solid wall and hard-to-treat cavity wall insulation, which ordinarily can’t be financed solely through the Green Deal. </w:t>
      </w:r>
    </w:p>
    <w:p w:rsidR="00EC55E2" w:rsidRPr="005C1D9D" w:rsidRDefault="00EC55E2" w:rsidP="00876DA0">
      <w:pPr>
        <w:pStyle w:val="NormalWeb"/>
        <w:spacing w:line="270" w:lineRule="atLeast"/>
        <w:jc w:val="both"/>
        <w:rPr>
          <w:rFonts w:ascii="Arial" w:hAnsi="Arial" w:cs="Arial"/>
          <w:sz w:val="22"/>
          <w:szCs w:val="22"/>
        </w:rPr>
      </w:pPr>
    </w:p>
    <w:p w:rsidR="00EC55E2" w:rsidRPr="005C1D9D" w:rsidRDefault="00EC55E2" w:rsidP="00876DA0">
      <w:pPr>
        <w:pStyle w:val="NormalWeb"/>
        <w:spacing w:line="270" w:lineRule="atLeast"/>
        <w:jc w:val="both"/>
        <w:rPr>
          <w:rFonts w:ascii="Arial" w:hAnsi="Arial" w:cs="Arial"/>
          <w:sz w:val="22"/>
          <w:szCs w:val="22"/>
        </w:rPr>
      </w:pPr>
      <w:r w:rsidRPr="005C1D9D">
        <w:rPr>
          <w:rFonts w:ascii="Arial" w:hAnsi="Arial" w:cs="Arial"/>
          <w:sz w:val="22"/>
          <w:szCs w:val="22"/>
          <w:u w:val="single"/>
        </w:rPr>
        <w:t>Carbon Saving Communities</w:t>
      </w:r>
      <w:r w:rsidR="005571EF" w:rsidRPr="005C1D9D">
        <w:rPr>
          <w:rFonts w:ascii="Arial" w:hAnsi="Arial" w:cs="Arial"/>
          <w:sz w:val="22"/>
          <w:szCs w:val="22"/>
          <w:u w:val="single"/>
        </w:rPr>
        <w:t xml:space="preserve"> Obligation</w:t>
      </w:r>
      <w:r w:rsidRPr="005C1D9D">
        <w:rPr>
          <w:rFonts w:ascii="Arial" w:hAnsi="Arial" w:cs="Arial"/>
          <w:sz w:val="22"/>
          <w:szCs w:val="22"/>
        </w:rPr>
        <w:t xml:space="preserve"> - This provides insulation measures to households in specified areas of low income. It also makes sure that 15% of each supplier’s obligation is used to upgrade more hard-to-reach low-income households in rural areas.</w:t>
      </w:r>
    </w:p>
    <w:p w:rsidR="00EC55E2" w:rsidRPr="005C1D9D" w:rsidRDefault="00EC55E2" w:rsidP="00876DA0">
      <w:pPr>
        <w:pStyle w:val="NormalWeb"/>
        <w:spacing w:line="270" w:lineRule="atLeast"/>
        <w:jc w:val="both"/>
        <w:rPr>
          <w:rFonts w:ascii="Arial" w:hAnsi="Arial" w:cs="Arial"/>
          <w:sz w:val="22"/>
          <w:szCs w:val="22"/>
        </w:rPr>
      </w:pPr>
    </w:p>
    <w:p w:rsidR="00EC55E2" w:rsidRPr="005C1D9D" w:rsidRDefault="00EC55E2" w:rsidP="00876DA0">
      <w:pPr>
        <w:pStyle w:val="NormalWeb"/>
        <w:spacing w:line="270" w:lineRule="atLeast"/>
        <w:jc w:val="both"/>
        <w:rPr>
          <w:rFonts w:ascii="Arial" w:hAnsi="Arial" w:cs="Arial"/>
          <w:sz w:val="22"/>
          <w:szCs w:val="22"/>
        </w:rPr>
      </w:pPr>
      <w:r w:rsidRPr="005C1D9D">
        <w:rPr>
          <w:rFonts w:ascii="Arial" w:hAnsi="Arial" w:cs="Arial"/>
          <w:sz w:val="22"/>
          <w:szCs w:val="22"/>
          <w:u w:val="single"/>
        </w:rPr>
        <w:t>Affordable Warmth Obligation</w:t>
      </w:r>
      <w:r w:rsidRPr="005C1D9D">
        <w:rPr>
          <w:rFonts w:ascii="Arial" w:hAnsi="Arial" w:cs="Arial"/>
          <w:sz w:val="22"/>
          <w:szCs w:val="22"/>
        </w:rPr>
        <w:t xml:space="preserve"> - This provides heating and insulation measures to consumers living in private tenure properties that receive particular means-tested benefits. This obligation supports low-income consumers that are vulnerable to the impact of living in cold homes, including the elderly, disabled and families.</w:t>
      </w:r>
    </w:p>
    <w:p w:rsidR="00EC55E2" w:rsidRPr="005C1D9D" w:rsidRDefault="00EC55E2" w:rsidP="00876DA0">
      <w:pPr>
        <w:pStyle w:val="NormalWeb"/>
        <w:spacing w:line="270" w:lineRule="atLeast"/>
        <w:jc w:val="both"/>
        <w:rPr>
          <w:rFonts w:ascii="Arial" w:hAnsi="Arial" w:cs="Arial"/>
          <w:color w:val="FF0000"/>
          <w:sz w:val="22"/>
          <w:szCs w:val="22"/>
        </w:rPr>
      </w:pPr>
    </w:p>
    <w:p w:rsidR="00793131" w:rsidRPr="005C1D9D" w:rsidRDefault="00793131" w:rsidP="00876DA0">
      <w:pPr>
        <w:pStyle w:val="NormalWeb"/>
        <w:spacing w:line="270" w:lineRule="atLeast"/>
        <w:jc w:val="both"/>
        <w:rPr>
          <w:rFonts w:ascii="Arial" w:hAnsi="Arial" w:cs="Arial"/>
          <w:sz w:val="22"/>
          <w:szCs w:val="22"/>
          <w:u w:val="single"/>
        </w:rPr>
      </w:pPr>
      <w:r w:rsidRPr="005C1D9D">
        <w:rPr>
          <w:rFonts w:ascii="Arial" w:hAnsi="Arial" w:cs="Arial"/>
          <w:sz w:val="22"/>
          <w:szCs w:val="22"/>
          <w:u w:val="single"/>
        </w:rPr>
        <w:t>How do the Green Deal and ECO interact?</w:t>
      </w:r>
    </w:p>
    <w:p w:rsidR="00793131" w:rsidRPr="005C1D9D" w:rsidRDefault="00793131" w:rsidP="00876DA0">
      <w:pPr>
        <w:pStyle w:val="NormalWeb"/>
        <w:spacing w:line="270" w:lineRule="atLeast"/>
        <w:jc w:val="both"/>
        <w:rPr>
          <w:rFonts w:ascii="Arial" w:hAnsi="Arial" w:cs="Arial"/>
          <w:sz w:val="22"/>
          <w:szCs w:val="22"/>
        </w:rPr>
      </w:pPr>
    </w:p>
    <w:p w:rsidR="00793131" w:rsidRPr="005C1D9D" w:rsidRDefault="00793131" w:rsidP="00876DA0">
      <w:pPr>
        <w:pStyle w:val="NormalWeb"/>
        <w:spacing w:line="270" w:lineRule="atLeast"/>
        <w:jc w:val="both"/>
        <w:rPr>
          <w:rFonts w:ascii="Arial" w:hAnsi="Arial" w:cs="Arial"/>
          <w:color w:val="FF0000"/>
          <w:sz w:val="22"/>
          <w:szCs w:val="22"/>
        </w:rPr>
      </w:pPr>
      <w:r w:rsidRPr="005C1D9D">
        <w:rPr>
          <w:rFonts w:ascii="Arial" w:hAnsi="Arial" w:cs="Arial"/>
          <w:sz w:val="22"/>
          <w:szCs w:val="22"/>
        </w:rPr>
        <w:t>Following a GD Assessment there will be a range of measures which could improve the energy efficiency of the property. Some of these could be paid for through GD finance, up to the point where the expected annual cost will not exceed what a typical household should save in energy costs. However, depending on the measure or the property, other sources of finance may also be required. ECO funding could be one of these sources, for example for measures suc</w:t>
      </w:r>
      <w:r w:rsidR="00876DA0" w:rsidRPr="005C1D9D">
        <w:rPr>
          <w:rFonts w:ascii="Arial" w:hAnsi="Arial" w:cs="Arial"/>
          <w:sz w:val="22"/>
          <w:szCs w:val="22"/>
        </w:rPr>
        <w:t>h as Solid Wall Insulation and hard-to-</w:t>
      </w:r>
      <w:r w:rsidRPr="005C1D9D">
        <w:rPr>
          <w:rFonts w:ascii="Arial" w:hAnsi="Arial" w:cs="Arial"/>
          <w:sz w:val="22"/>
          <w:szCs w:val="22"/>
        </w:rPr>
        <w:t>treat Cavity Wall insulation.</w:t>
      </w:r>
      <w:r w:rsidRPr="005C1D9D">
        <w:rPr>
          <w:rFonts w:ascii="Arial" w:hAnsi="Arial" w:cs="Arial"/>
          <w:color w:val="FF0000"/>
          <w:sz w:val="22"/>
          <w:szCs w:val="22"/>
        </w:rPr>
        <w:t xml:space="preserve"> </w:t>
      </w:r>
    </w:p>
    <w:p w:rsidR="00EC55E2" w:rsidRPr="00B42A34" w:rsidRDefault="00EC55E2" w:rsidP="00876DA0">
      <w:pPr>
        <w:pStyle w:val="NormalWeb"/>
        <w:spacing w:line="270" w:lineRule="atLeast"/>
        <w:jc w:val="both"/>
        <w:rPr>
          <w:rFonts w:ascii="Arial" w:hAnsi="Arial" w:cs="Arial"/>
          <w:color w:val="FF0000"/>
          <w:sz w:val="22"/>
          <w:szCs w:val="22"/>
          <w:highlight w:val="yellow"/>
        </w:rPr>
      </w:pPr>
    </w:p>
    <w:p w:rsidR="00EC55E2" w:rsidRPr="005C1D9D" w:rsidRDefault="00EC55E2" w:rsidP="00876DA0">
      <w:pPr>
        <w:pStyle w:val="NormalWeb"/>
        <w:spacing w:line="270" w:lineRule="atLeast"/>
        <w:jc w:val="both"/>
        <w:rPr>
          <w:rFonts w:ascii="Arial" w:hAnsi="Arial" w:cs="Arial"/>
          <w:sz w:val="22"/>
          <w:szCs w:val="22"/>
          <w:u w:val="single"/>
        </w:rPr>
      </w:pPr>
      <w:bookmarkStart w:id="9" w:name="OLE_LINK13"/>
      <w:bookmarkStart w:id="10" w:name="OLE_LINK14"/>
      <w:r w:rsidRPr="005C1D9D">
        <w:rPr>
          <w:rFonts w:ascii="Arial" w:hAnsi="Arial" w:cs="Arial"/>
          <w:sz w:val="22"/>
          <w:szCs w:val="22"/>
          <w:u w:val="single"/>
        </w:rPr>
        <w:t>ECO Brokerage</w:t>
      </w:r>
    </w:p>
    <w:p w:rsidR="00EC55E2" w:rsidRPr="005C1D9D" w:rsidRDefault="00EC55E2" w:rsidP="00876DA0">
      <w:pPr>
        <w:pStyle w:val="NormalWeb"/>
        <w:spacing w:line="270" w:lineRule="atLeast"/>
        <w:jc w:val="both"/>
        <w:rPr>
          <w:rFonts w:ascii="Arial" w:hAnsi="Arial" w:cs="Arial"/>
          <w:sz w:val="22"/>
          <w:szCs w:val="22"/>
        </w:rPr>
      </w:pPr>
      <w:bookmarkStart w:id="11" w:name="OLE_LINK3"/>
      <w:bookmarkStart w:id="12" w:name="OLE_LINK4"/>
    </w:p>
    <w:p w:rsidR="00B55112" w:rsidRPr="005C1D9D" w:rsidRDefault="00B55112" w:rsidP="00876DA0">
      <w:pPr>
        <w:pStyle w:val="NormalWeb"/>
        <w:spacing w:line="270" w:lineRule="atLeast"/>
        <w:jc w:val="both"/>
        <w:rPr>
          <w:rFonts w:ascii="Arial" w:hAnsi="Arial" w:cs="Arial"/>
          <w:color w:val="000000" w:themeColor="text1"/>
          <w:sz w:val="22"/>
          <w:szCs w:val="22"/>
        </w:rPr>
      </w:pPr>
      <w:bookmarkStart w:id="13" w:name="OLE_LINK10"/>
      <w:bookmarkStart w:id="14" w:name="OLE_LINK12"/>
      <w:bookmarkEnd w:id="11"/>
      <w:bookmarkEnd w:id="12"/>
      <w:r w:rsidRPr="005C1D9D">
        <w:rPr>
          <w:rFonts w:ascii="Arial" w:hAnsi="Arial" w:cs="Arial"/>
          <w:color w:val="000000" w:themeColor="text1"/>
          <w:sz w:val="22"/>
          <w:szCs w:val="22"/>
        </w:rPr>
        <w:t xml:space="preserve">The </w:t>
      </w:r>
      <w:hyperlink r:id="rId11" w:history="1">
        <w:r w:rsidR="00493FD7" w:rsidRPr="005C1D9D">
          <w:rPr>
            <w:rStyle w:val="Hyperlink"/>
            <w:rFonts w:ascii="Arial" w:hAnsi="Arial" w:cs="Arial"/>
            <w:sz w:val="22"/>
            <w:szCs w:val="22"/>
          </w:rPr>
          <w:t>ECO Brokerage</w:t>
        </w:r>
      </w:hyperlink>
      <w:r w:rsidRPr="005C1D9D">
        <w:rPr>
          <w:rFonts w:ascii="Arial" w:hAnsi="Arial" w:cs="Arial"/>
          <w:color w:val="000000" w:themeColor="text1"/>
          <w:sz w:val="22"/>
          <w:szCs w:val="22"/>
        </w:rPr>
        <w:t xml:space="preserve"> system operates as a fortnightly anonymous auction where </w:t>
      </w:r>
      <w:r w:rsidR="00950F90" w:rsidRPr="005C1D9D">
        <w:rPr>
          <w:rFonts w:ascii="Arial" w:hAnsi="Arial" w:cs="Arial"/>
          <w:color w:val="000000" w:themeColor="text1"/>
          <w:sz w:val="22"/>
          <w:szCs w:val="22"/>
        </w:rPr>
        <w:t>GD P</w:t>
      </w:r>
      <w:r w:rsidRPr="005C1D9D">
        <w:rPr>
          <w:rFonts w:ascii="Arial" w:hAnsi="Arial" w:cs="Arial"/>
          <w:color w:val="000000" w:themeColor="text1"/>
          <w:sz w:val="22"/>
          <w:szCs w:val="22"/>
        </w:rPr>
        <w:t xml:space="preserve">roviders can sell ‘lots’ of future measures of ECO Carbon Saving Obligation, ECO Carbon Saving Communities and ECO Affordable Warmth, to energy companies in return for ECO subsidy. </w:t>
      </w:r>
    </w:p>
    <w:p w:rsidR="00B55112" w:rsidRPr="005C1D9D" w:rsidRDefault="00B55112" w:rsidP="00876DA0">
      <w:pPr>
        <w:pStyle w:val="NormalWeb"/>
        <w:spacing w:line="270" w:lineRule="atLeast"/>
        <w:jc w:val="both"/>
        <w:rPr>
          <w:rFonts w:ascii="Arial" w:hAnsi="Arial" w:cs="Arial"/>
          <w:color w:val="000000" w:themeColor="text1"/>
          <w:sz w:val="22"/>
          <w:szCs w:val="22"/>
        </w:rPr>
      </w:pPr>
    </w:p>
    <w:p w:rsidR="00B55112" w:rsidRPr="005C1D9D" w:rsidRDefault="00B55112" w:rsidP="00876DA0">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lang w:val="en-US"/>
        </w:rPr>
        <w:t>This market-based mechanism has been introduced to support an open and competitive market for the delivery of the ECO. Brokerage allows a</w:t>
      </w:r>
      <w:r w:rsidRPr="005C1D9D">
        <w:rPr>
          <w:rFonts w:ascii="Arial" w:hAnsi="Arial" w:cs="Arial"/>
          <w:color w:val="000000" w:themeColor="text1"/>
          <w:sz w:val="22"/>
          <w:szCs w:val="22"/>
        </w:rPr>
        <w:t xml:space="preserve"> range of Green Deal providers to fairly compete on price to attract ECO support and enables energy suppliers to deliver their obligations at the lowest possible cost, thereby reducing the impact on customer energy bills. </w:t>
      </w:r>
    </w:p>
    <w:p w:rsidR="00B55112" w:rsidRPr="005C1D9D" w:rsidRDefault="00B55112" w:rsidP="00876DA0">
      <w:pPr>
        <w:pStyle w:val="NormalWeb"/>
        <w:spacing w:line="270" w:lineRule="atLeast"/>
        <w:jc w:val="both"/>
        <w:rPr>
          <w:rFonts w:ascii="Arial" w:hAnsi="Arial" w:cs="Arial"/>
          <w:color w:val="000000" w:themeColor="text1"/>
          <w:sz w:val="22"/>
          <w:szCs w:val="22"/>
        </w:rPr>
      </w:pPr>
    </w:p>
    <w:p w:rsidR="00B55112" w:rsidRPr="005C1D9D" w:rsidRDefault="00B55112" w:rsidP="00876DA0">
      <w:pPr>
        <w:pStyle w:val="NormalWeb"/>
        <w:spacing w:line="270" w:lineRule="atLeast"/>
        <w:jc w:val="both"/>
        <w:rPr>
          <w:rFonts w:ascii="Arial" w:hAnsi="Arial" w:cs="Arial"/>
          <w:color w:val="000000" w:themeColor="text1"/>
          <w:sz w:val="22"/>
          <w:szCs w:val="22"/>
        </w:rPr>
      </w:pPr>
      <w:r w:rsidRPr="005C1D9D">
        <w:rPr>
          <w:rFonts w:ascii="Arial" w:hAnsi="Arial" w:cs="Arial"/>
          <w:color w:val="000000" w:themeColor="text1"/>
          <w:sz w:val="22"/>
          <w:szCs w:val="22"/>
        </w:rPr>
        <w:t>Sellers</w:t>
      </w:r>
      <w:r w:rsidR="00950F90" w:rsidRPr="005C1D9D">
        <w:rPr>
          <w:rFonts w:ascii="Arial" w:hAnsi="Arial" w:cs="Arial"/>
          <w:color w:val="000000" w:themeColor="text1"/>
          <w:sz w:val="22"/>
          <w:szCs w:val="22"/>
        </w:rPr>
        <w:t xml:space="preserve"> (GD Providers)</w:t>
      </w:r>
      <w:r w:rsidRPr="005C1D9D">
        <w:rPr>
          <w:rFonts w:ascii="Arial" w:hAnsi="Arial" w:cs="Arial"/>
          <w:color w:val="000000" w:themeColor="text1"/>
          <w:sz w:val="22"/>
          <w:szCs w:val="22"/>
        </w:rPr>
        <w:t xml:space="preserve"> can make a competitive offer on brokerage by leveraging additional sources of finance, such as part funding measure</w:t>
      </w:r>
      <w:r w:rsidR="00876DA0" w:rsidRPr="005C1D9D">
        <w:rPr>
          <w:rFonts w:ascii="Arial" w:hAnsi="Arial" w:cs="Arial"/>
          <w:color w:val="000000" w:themeColor="text1"/>
          <w:sz w:val="22"/>
          <w:szCs w:val="22"/>
        </w:rPr>
        <w:t>s</w:t>
      </w:r>
      <w:r w:rsidRPr="005C1D9D">
        <w:rPr>
          <w:rFonts w:ascii="Arial" w:hAnsi="Arial" w:cs="Arial"/>
          <w:color w:val="000000" w:themeColor="text1"/>
          <w:sz w:val="22"/>
          <w:szCs w:val="22"/>
        </w:rPr>
        <w:t xml:space="preserve"> through Green Deal Finance, partnerships with local authorities, or driving down costs by economies of scale.</w:t>
      </w:r>
    </w:p>
    <w:bookmarkEnd w:id="9"/>
    <w:bookmarkEnd w:id="10"/>
    <w:bookmarkEnd w:id="13"/>
    <w:bookmarkEnd w:id="14"/>
    <w:p w:rsidR="00EC55E2" w:rsidRPr="005C1D9D" w:rsidRDefault="00B55112" w:rsidP="00876DA0">
      <w:pPr>
        <w:spacing w:line="240" w:lineRule="auto"/>
        <w:jc w:val="both"/>
        <w:rPr>
          <w:rFonts w:ascii="Arial" w:hAnsi="Arial" w:cs="Arial"/>
          <w:u w:val="single"/>
        </w:rPr>
      </w:pPr>
      <w:r w:rsidRPr="00B42A34">
        <w:rPr>
          <w:rFonts w:ascii="Arial" w:hAnsi="Arial" w:cs="Arial"/>
          <w:highlight w:val="yellow"/>
          <w:u w:val="single"/>
        </w:rPr>
        <w:lastRenderedPageBreak/>
        <w:br/>
      </w:r>
      <w:r w:rsidR="00EC55E2" w:rsidRPr="005C1D9D">
        <w:rPr>
          <w:rFonts w:ascii="Arial" w:hAnsi="Arial" w:cs="Arial"/>
          <w:u w:val="single"/>
        </w:rPr>
        <w:t>The Supply chain</w:t>
      </w:r>
    </w:p>
    <w:p w:rsidR="00A42118" w:rsidRPr="005C1D9D" w:rsidRDefault="00EC55E2" w:rsidP="00A42118">
      <w:pPr>
        <w:spacing w:line="240" w:lineRule="auto"/>
        <w:jc w:val="both"/>
        <w:rPr>
          <w:rFonts w:ascii="Arial" w:hAnsi="Arial" w:cs="Arial"/>
        </w:rPr>
      </w:pPr>
      <w:r w:rsidRPr="005C1D9D">
        <w:rPr>
          <w:rFonts w:ascii="Arial" w:hAnsi="Arial" w:cs="Arial"/>
        </w:rPr>
        <w:t xml:space="preserve">To understand more about the organisations and infrastructure underpinning the Green Deal, this report also includes a section summarising the trends in the number of Green Deal </w:t>
      </w:r>
      <w:r w:rsidR="00493FD7" w:rsidRPr="005C1D9D">
        <w:rPr>
          <w:rFonts w:ascii="Arial" w:hAnsi="Arial" w:cs="Arial"/>
        </w:rPr>
        <w:t xml:space="preserve">Advisors </w:t>
      </w:r>
      <w:r w:rsidR="000C6CD6" w:rsidRPr="005C1D9D">
        <w:rPr>
          <w:rFonts w:ascii="Arial" w:hAnsi="Arial" w:cs="Arial"/>
        </w:rPr>
        <w:t xml:space="preserve">(and Assessor organisations), </w:t>
      </w:r>
      <w:r w:rsidRPr="005C1D9D">
        <w:rPr>
          <w:rFonts w:ascii="Arial" w:hAnsi="Arial" w:cs="Arial"/>
        </w:rPr>
        <w:t xml:space="preserve">the </w:t>
      </w:r>
      <w:r w:rsidR="000C6CD6" w:rsidRPr="005C1D9D">
        <w:rPr>
          <w:rFonts w:ascii="Arial" w:hAnsi="Arial" w:cs="Arial"/>
        </w:rPr>
        <w:t xml:space="preserve">number of Green Deal Providers and the </w:t>
      </w:r>
      <w:r w:rsidRPr="005C1D9D">
        <w:rPr>
          <w:rFonts w:ascii="Arial" w:hAnsi="Arial" w:cs="Arial"/>
        </w:rPr>
        <w:t>number of Green Deal Installer organisations.</w:t>
      </w:r>
    </w:p>
    <w:p w:rsidR="00EA207E" w:rsidRPr="005C1D9D" w:rsidRDefault="00C9240A" w:rsidP="00A42118">
      <w:pPr>
        <w:spacing w:line="240" w:lineRule="auto"/>
        <w:jc w:val="both"/>
        <w:rPr>
          <w:rFonts w:ascii="Arial" w:hAnsi="Arial" w:cs="Arial"/>
        </w:rPr>
      </w:pPr>
      <w:r w:rsidRPr="00B42A34">
        <w:rPr>
          <w:rFonts w:ascii="Arial" w:hAnsi="Arial" w:cs="Arial"/>
          <w:b/>
          <w:highlight w:val="yellow"/>
        </w:rPr>
        <w:br w:type="page"/>
      </w:r>
      <w:r w:rsidR="009268A2" w:rsidRPr="005C1D9D">
        <w:rPr>
          <w:rFonts w:ascii="Arial" w:hAnsi="Arial" w:cs="Arial"/>
          <w:b/>
        </w:rPr>
        <w:lastRenderedPageBreak/>
        <w:t xml:space="preserve">Detailed </w:t>
      </w:r>
      <w:r w:rsidR="00132AE0" w:rsidRPr="005C1D9D">
        <w:rPr>
          <w:rFonts w:ascii="Arial" w:hAnsi="Arial" w:cs="Arial"/>
          <w:b/>
        </w:rPr>
        <w:t>R</w:t>
      </w:r>
      <w:r w:rsidR="00EA207E" w:rsidRPr="005C1D9D">
        <w:rPr>
          <w:rFonts w:ascii="Arial" w:hAnsi="Arial" w:cs="Arial"/>
          <w:b/>
        </w:rPr>
        <w:t>esults</w:t>
      </w:r>
    </w:p>
    <w:p w:rsidR="00132AE0" w:rsidRPr="005C1D9D" w:rsidRDefault="00132AE0" w:rsidP="00FC7315">
      <w:pPr>
        <w:spacing w:line="270" w:lineRule="atLeast"/>
        <w:jc w:val="both"/>
        <w:rPr>
          <w:rFonts w:ascii="Arial" w:hAnsi="Arial" w:cs="Arial"/>
        </w:rPr>
      </w:pPr>
      <w:bookmarkStart w:id="15" w:name="Figure1"/>
      <w:r w:rsidRPr="005C1D9D">
        <w:rPr>
          <w:rFonts w:ascii="Arial" w:hAnsi="Arial" w:cs="Arial"/>
        </w:rPr>
        <w:t>This section of the report provides the latest available information on different elements of the Gree</w:t>
      </w:r>
      <w:r w:rsidR="00342CE6" w:rsidRPr="005C1D9D">
        <w:rPr>
          <w:rFonts w:ascii="Arial" w:hAnsi="Arial" w:cs="Arial"/>
        </w:rPr>
        <w:t>n Deal and ECO, including an</w:t>
      </w:r>
      <w:r w:rsidRPr="005C1D9D">
        <w:rPr>
          <w:rFonts w:ascii="Arial" w:hAnsi="Arial" w:cs="Arial"/>
        </w:rPr>
        <w:t xml:space="preserve"> overview of t</w:t>
      </w:r>
      <w:r w:rsidR="00BC7763" w:rsidRPr="005C1D9D">
        <w:rPr>
          <w:rFonts w:ascii="Arial" w:hAnsi="Arial" w:cs="Arial"/>
        </w:rPr>
        <w:t>he supply chain, the number of A</w:t>
      </w:r>
      <w:r w:rsidRPr="005C1D9D">
        <w:rPr>
          <w:rFonts w:ascii="Arial" w:hAnsi="Arial" w:cs="Arial"/>
        </w:rPr>
        <w:t xml:space="preserve">ssessments, </w:t>
      </w:r>
      <w:r w:rsidR="00342CE6" w:rsidRPr="005C1D9D">
        <w:rPr>
          <w:rFonts w:ascii="Arial" w:hAnsi="Arial" w:cs="Arial"/>
        </w:rPr>
        <w:t>and a summary of</w:t>
      </w:r>
      <w:r w:rsidRPr="005C1D9D">
        <w:rPr>
          <w:rFonts w:ascii="Arial" w:hAnsi="Arial" w:cs="Arial"/>
        </w:rPr>
        <w:t xml:space="preserve"> ECO Brokerage.</w:t>
      </w:r>
    </w:p>
    <w:p w:rsidR="00242766" w:rsidRPr="005C1D9D" w:rsidRDefault="00242766" w:rsidP="00FC7315">
      <w:pPr>
        <w:spacing w:line="270" w:lineRule="atLeast"/>
        <w:jc w:val="both"/>
        <w:rPr>
          <w:rFonts w:ascii="Arial" w:hAnsi="Arial" w:cs="Arial"/>
        </w:rPr>
      </w:pPr>
      <w:r w:rsidRPr="005C1D9D">
        <w:rPr>
          <w:rFonts w:ascii="Arial" w:hAnsi="Arial" w:cs="Arial"/>
        </w:rPr>
        <w:t xml:space="preserve">Where </w:t>
      </w:r>
      <w:r w:rsidR="00342CE6" w:rsidRPr="005C1D9D">
        <w:rPr>
          <w:rFonts w:ascii="Arial" w:hAnsi="Arial" w:cs="Arial"/>
        </w:rPr>
        <w:t>we</w:t>
      </w:r>
      <w:r w:rsidRPr="005C1D9D">
        <w:rPr>
          <w:rFonts w:ascii="Arial" w:hAnsi="Arial" w:cs="Arial"/>
        </w:rPr>
        <w:t xml:space="preserve"> refer to Table numbers</w:t>
      </w:r>
      <w:r w:rsidR="00342CE6" w:rsidRPr="005C1D9D">
        <w:rPr>
          <w:rFonts w:ascii="Arial" w:hAnsi="Arial" w:cs="Arial"/>
        </w:rPr>
        <w:t xml:space="preserve"> in brackets</w:t>
      </w:r>
      <w:r w:rsidR="00E25558" w:rsidRPr="005C1D9D">
        <w:rPr>
          <w:rFonts w:ascii="Arial" w:hAnsi="Arial" w:cs="Arial"/>
        </w:rPr>
        <w:t xml:space="preserve">, these are the tables included in </w:t>
      </w:r>
      <w:hyperlink w:anchor="OLE_LINK8" w:history="1">
        <w:r w:rsidR="00E25558" w:rsidRPr="005C1D9D">
          <w:rPr>
            <w:rStyle w:val="Hyperlink"/>
            <w:rFonts w:ascii="Arial" w:hAnsi="Arial" w:cs="Arial"/>
          </w:rPr>
          <w:t>Annex A</w:t>
        </w:r>
      </w:hyperlink>
      <w:r w:rsidRPr="005C1D9D">
        <w:rPr>
          <w:rFonts w:ascii="Arial" w:hAnsi="Arial" w:cs="Arial"/>
        </w:rPr>
        <w:t xml:space="preserve"> and separately in Excel </w:t>
      </w:r>
      <w:r w:rsidR="004756E6">
        <w:fldChar w:fldCharType="begin"/>
      </w:r>
      <w:r w:rsidR="004756E6">
        <w:instrText>HYPERLINK "https://www.gov.uk/government/uploads/system/uploads/attachment_data/file/198393/green_deal_eco_may_2013.xls"</w:instrText>
      </w:r>
      <w:r w:rsidR="004756E6">
        <w:fldChar w:fldCharType="separate"/>
      </w:r>
      <w:r w:rsidR="000033F6" w:rsidRPr="005C1D9D">
        <w:rPr>
          <w:rStyle w:val="Hyperlink"/>
          <w:rFonts w:ascii="Arial" w:hAnsi="Arial" w:cs="Arial"/>
        </w:rPr>
        <w:t>here</w:t>
      </w:r>
      <w:r w:rsidR="004756E6">
        <w:fldChar w:fldCharType="end"/>
      </w:r>
      <w:r w:rsidR="000033F6" w:rsidRPr="005C1D9D">
        <w:rPr>
          <w:rFonts w:ascii="Arial" w:hAnsi="Arial" w:cs="Arial"/>
          <w:color w:val="FF0000"/>
        </w:rPr>
        <w:t>.</w:t>
      </w:r>
    </w:p>
    <w:bookmarkEnd w:id="15"/>
    <w:p w:rsidR="00AF4E3A" w:rsidRPr="005C1D9D" w:rsidRDefault="00AF4E3A" w:rsidP="00FC7315">
      <w:pPr>
        <w:spacing w:line="270" w:lineRule="atLeast"/>
        <w:jc w:val="both"/>
        <w:rPr>
          <w:rFonts w:ascii="Arial" w:hAnsi="Arial" w:cs="Arial"/>
          <w:u w:val="single"/>
        </w:rPr>
      </w:pPr>
      <w:r w:rsidRPr="005C1D9D">
        <w:rPr>
          <w:rFonts w:ascii="Arial" w:hAnsi="Arial" w:cs="Arial"/>
          <w:u w:val="single"/>
        </w:rPr>
        <w:t xml:space="preserve">Supply chain, as at end </w:t>
      </w:r>
      <w:r w:rsidR="005C1D9D" w:rsidRPr="005C1D9D">
        <w:rPr>
          <w:rFonts w:ascii="Arial" w:hAnsi="Arial" w:cs="Arial"/>
          <w:u w:val="single"/>
        </w:rPr>
        <w:t xml:space="preserve">April </w:t>
      </w:r>
      <w:r w:rsidRPr="005C1D9D">
        <w:rPr>
          <w:rFonts w:ascii="Arial" w:hAnsi="Arial" w:cs="Arial"/>
          <w:u w:val="single"/>
        </w:rPr>
        <w:t>(Table 1</w:t>
      </w:r>
      <w:r w:rsidR="000F6B88" w:rsidRPr="005C1D9D">
        <w:rPr>
          <w:rFonts w:ascii="Arial" w:hAnsi="Arial" w:cs="Arial"/>
          <w:u w:val="single"/>
        </w:rPr>
        <w:t xml:space="preserve"> and Chart 2</w:t>
      </w:r>
      <w:r w:rsidRPr="005C1D9D">
        <w:rPr>
          <w:rFonts w:ascii="Arial" w:hAnsi="Arial" w:cs="Arial"/>
          <w:u w:val="single"/>
        </w:rPr>
        <w:t>)</w:t>
      </w:r>
    </w:p>
    <w:p w:rsidR="00AF4E3A" w:rsidRPr="005C1D9D" w:rsidRDefault="00AF4E3A" w:rsidP="00FC7315">
      <w:pPr>
        <w:spacing w:line="270" w:lineRule="atLeast"/>
        <w:jc w:val="both"/>
        <w:rPr>
          <w:rFonts w:ascii="Arial" w:hAnsi="Arial" w:cs="Arial"/>
        </w:rPr>
      </w:pPr>
      <w:r w:rsidRPr="005C1D9D">
        <w:rPr>
          <w:rFonts w:ascii="Arial" w:hAnsi="Arial" w:cs="Arial"/>
        </w:rPr>
        <w:t xml:space="preserve">The supply chain to support the Green Deal has been developing since October 2012. </w:t>
      </w:r>
      <w:r w:rsidR="00A27E5E" w:rsidRPr="005C1D9D">
        <w:rPr>
          <w:rFonts w:ascii="Arial" w:hAnsi="Arial" w:cs="Arial"/>
        </w:rPr>
        <w:t xml:space="preserve">This includes </w:t>
      </w:r>
      <w:r w:rsidR="0045708B" w:rsidRPr="005C1D9D">
        <w:rPr>
          <w:rFonts w:ascii="Arial" w:hAnsi="Arial" w:cs="Arial"/>
        </w:rPr>
        <w:t>individual Advisors (who carry out and produce Green Deal Advice Reports) and Assessor organisations (who employ authorised Green Deal Advisors), Green Deal Providers (who qu</w:t>
      </w:r>
      <w:r w:rsidR="00C9240A" w:rsidRPr="005C1D9D">
        <w:rPr>
          <w:rFonts w:ascii="Arial" w:hAnsi="Arial" w:cs="Arial"/>
        </w:rPr>
        <w:t>ote for and arrange Green Deal P</w:t>
      </w:r>
      <w:r w:rsidR="0045708B" w:rsidRPr="005C1D9D">
        <w:rPr>
          <w:rFonts w:ascii="Arial" w:hAnsi="Arial" w:cs="Arial"/>
        </w:rPr>
        <w:t xml:space="preserve">lans with householders and arrange for the measures to be installed), and </w:t>
      </w:r>
      <w:r w:rsidR="00A27E5E" w:rsidRPr="005C1D9D">
        <w:rPr>
          <w:rFonts w:ascii="Arial" w:hAnsi="Arial" w:cs="Arial"/>
        </w:rPr>
        <w:t>Installer organisations</w:t>
      </w:r>
      <w:r w:rsidR="0045708B" w:rsidRPr="005C1D9D">
        <w:rPr>
          <w:rStyle w:val="FootnoteReference"/>
          <w:rFonts w:ascii="Arial" w:hAnsi="Arial" w:cs="Arial"/>
        </w:rPr>
        <w:footnoteReference w:id="3"/>
      </w:r>
      <w:r w:rsidRPr="005C1D9D">
        <w:rPr>
          <w:rFonts w:ascii="Arial" w:hAnsi="Arial" w:cs="Arial"/>
        </w:rPr>
        <w:t xml:space="preserve"> (who install energy efficiency improvements u</w:t>
      </w:r>
      <w:r w:rsidR="0045708B" w:rsidRPr="005C1D9D">
        <w:rPr>
          <w:rFonts w:ascii="Arial" w:hAnsi="Arial" w:cs="Arial"/>
        </w:rPr>
        <w:t>nder the GD finance mechanism)</w:t>
      </w:r>
      <w:r w:rsidRPr="005C1D9D">
        <w:rPr>
          <w:rFonts w:ascii="Arial" w:hAnsi="Arial" w:cs="Arial"/>
        </w:rPr>
        <w:t>.</w:t>
      </w:r>
      <w:r w:rsidR="009268A2" w:rsidRPr="005C1D9D">
        <w:rPr>
          <w:rFonts w:ascii="Arial" w:hAnsi="Arial" w:cs="Arial"/>
        </w:rPr>
        <w:t xml:space="preserve"> The chart below shows the number of organisations and individuals who have been accredited up to the end of </w:t>
      </w:r>
      <w:r w:rsidR="005C1D9D" w:rsidRPr="005C1D9D">
        <w:rPr>
          <w:rFonts w:ascii="Arial" w:hAnsi="Arial" w:cs="Arial"/>
        </w:rPr>
        <w:t>April</w:t>
      </w:r>
      <w:r w:rsidR="009268A2" w:rsidRPr="005C1D9D">
        <w:rPr>
          <w:rFonts w:ascii="Arial" w:hAnsi="Arial" w:cs="Arial"/>
        </w:rPr>
        <w:t xml:space="preserve"> 2013.</w:t>
      </w:r>
    </w:p>
    <w:p w:rsidR="00AF4E3A" w:rsidRPr="005C1D9D" w:rsidRDefault="00AF4E3A" w:rsidP="00FC7315">
      <w:pPr>
        <w:spacing w:line="270" w:lineRule="atLeast"/>
        <w:jc w:val="both"/>
        <w:rPr>
          <w:rFonts w:ascii="Arial" w:hAnsi="Arial" w:cs="Arial"/>
        </w:rPr>
      </w:pPr>
      <w:bookmarkStart w:id="16" w:name="Chart2"/>
      <w:r w:rsidRPr="005C1D9D">
        <w:rPr>
          <w:rFonts w:ascii="Arial" w:hAnsi="Arial" w:cs="Arial"/>
        </w:rPr>
        <w:t>Chart 2 – Development of supply chain (cumulative numbers)</w:t>
      </w:r>
    </w:p>
    <w:bookmarkEnd w:id="16"/>
    <w:p w:rsidR="00AF4E3A" w:rsidRPr="005C1D9D" w:rsidRDefault="00C37190" w:rsidP="00FC7315">
      <w:pPr>
        <w:spacing w:line="270" w:lineRule="atLeast"/>
        <w:jc w:val="both"/>
        <w:rPr>
          <w:rFonts w:ascii="Arial" w:hAnsi="Arial" w:cs="Arial"/>
          <w:b/>
        </w:rPr>
      </w:pPr>
      <w:r>
        <w:pict>
          <v:shape id="_x0000_i1026" type="#_x0000_t75" style="width:436.5pt;height:345.75pt">
            <v:imagedata r:id="rId12" o:title=""/>
          </v:shape>
        </w:pict>
      </w:r>
    </w:p>
    <w:p w:rsidR="00AF4E3A" w:rsidRPr="00B42A34" w:rsidRDefault="00AF4E3A" w:rsidP="00FC7315">
      <w:pPr>
        <w:spacing w:line="270" w:lineRule="atLeast"/>
        <w:jc w:val="both"/>
        <w:rPr>
          <w:rFonts w:ascii="Arial" w:hAnsi="Arial" w:cs="Arial"/>
          <w:highlight w:val="yellow"/>
        </w:rPr>
      </w:pPr>
      <w:r w:rsidRPr="005C1D9D">
        <w:rPr>
          <w:rFonts w:ascii="Arial" w:hAnsi="Arial" w:cs="Arial"/>
        </w:rPr>
        <w:t xml:space="preserve">The numbers of accredited </w:t>
      </w:r>
      <w:r w:rsidR="00476A8D" w:rsidRPr="005C1D9D">
        <w:rPr>
          <w:rFonts w:ascii="Arial" w:hAnsi="Arial" w:cs="Arial"/>
        </w:rPr>
        <w:t xml:space="preserve">GD </w:t>
      </w:r>
      <w:r w:rsidR="001C6CC7" w:rsidRPr="005C1D9D">
        <w:rPr>
          <w:rFonts w:ascii="Arial" w:hAnsi="Arial" w:cs="Arial"/>
        </w:rPr>
        <w:t>A</w:t>
      </w:r>
      <w:r w:rsidRPr="005C1D9D">
        <w:rPr>
          <w:rFonts w:ascii="Arial" w:hAnsi="Arial" w:cs="Arial"/>
        </w:rPr>
        <w:t xml:space="preserve">ssessor organisations and individual </w:t>
      </w:r>
      <w:r w:rsidR="001C6CC7" w:rsidRPr="005C1D9D">
        <w:rPr>
          <w:rFonts w:ascii="Arial" w:hAnsi="Arial" w:cs="Arial"/>
        </w:rPr>
        <w:t>A</w:t>
      </w:r>
      <w:r w:rsidRPr="005C1D9D">
        <w:rPr>
          <w:rFonts w:ascii="Arial" w:hAnsi="Arial" w:cs="Arial"/>
        </w:rPr>
        <w:t>dvisors has been growing sharpl</w:t>
      </w:r>
      <w:r w:rsidR="00E25558" w:rsidRPr="005C1D9D">
        <w:rPr>
          <w:rFonts w:ascii="Arial" w:hAnsi="Arial" w:cs="Arial"/>
        </w:rPr>
        <w:t>y since December as individual A</w:t>
      </w:r>
      <w:r w:rsidRPr="005C1D9D">
        <w:rPr>
          <w:rFonts w:ascii="Arial" w:hAnsi="Arial" w:cs="Arial"/>
        </w:rPr>
        <w:t xml:space="preserve">ssessors complete their training and are </w:t>
      </w:r>
      <w:r w:rsidRPr="005C1D9D">
        <w:rPr>
          <w:rFonts w:ascii="Arial" w:hAnsi="Arial" w:cs="Arial"/>
        </w:rPr>
        <w:lastRenderedPageBreak/>
        <w:t xml:space="preserve">accredited. At the end of </w:t>
      </w:r>
      <w:r w:rsidR="005C1D9D" w:rsidRPr="005C1D9D">
        <w:rPr>
          <w:rFonts w:ascii="Arial" w:hAnsi="Arial" w:cs="Arial"/>
        </w:rPr>
        <w:t>April</w:t>
      </w:r>
      <w:r w:rsidRPr="005C1D9D">
        <w:rPr>
          <w:rFonts w:ascii="Arial" w:hAnsi="Arial" w:cs="Arial"/>
        </w:rPr>
        <w:t xml:space="preserve"> there were </w:t>
      </w:r>
      <w:r w:rsidR="005C1D9D" w:rsidRPr="005C1D9D">
        <w:rPr>
          <w:rFonts w:ascii="Arial" w:hAnsi="Arial" w:cs="Arial"/>
        </w:rPr>
        <w:t>152</w:t>
      </w:r>
      <w:r w:rsidRPr="005C1D9D">
        <w:rPr>
          <w:rFonts w:ascii="Arial" w:hAnsi="Arial" w:cs="Arial"/>
        </w:rPr>
        <w:t xml:space="preserve"> organisations employing a total of </w:t>
      </w:r>
      <w:r w:rsidR="004377DD" w:rsidRPr="005C1D9D">
        <w:rPr>
          <w:rFonts w:ascii="Arial" w:hAnsi="Arial" w:cs="Arial"/>
        </w:rPr>
        <w:t>1,</w:t>
      </w:r>
      <w:r w:rsidR="005C1D9D" w:rsidRPr="005C1D9D">
        <w:rPr>
          <w:rFonts w:ascii="Arial" w:hAnsi="Arial" w:cs="Arial"/>
        </w:rPr>
        <w:t>274</w:t>
      </w:r>
      <w:r w:rsidR="00872A57" w:rsidRPr="005C1D9D">
        <w:rPr>
          <w:rFonts w:ascii="Arial" w:hAnsi="Arial" w:cs="Arial"/>
        </w:rPr>
        <w:t xml:space="preserve"> </w:t>
      </w:r>
      <w:r w:rsidR="007D7942" w:rsidRPr="005C1D9D">
        <w:rPr>
          <w:rFonts w:ascii="Arial" w:hAnsi="Arial" w:cs="Arial"/>
        </w:rPr>
        <w:t>A</w:t>
      </w:r>
      <w:r w:rsidRPr="005C1D9D">
        <w:rPr>
          <w:rFonts w:ascii="Arial" w:hAnsi="Arial" w:cs="Arial"/>
        </w:rPr>
        <w:t>dvisors</w:t>
      </w:r>
      <w:r w:rsidR="00691EAD" w:rsidRPr="005C1D9D">
        <w:rPr>
          <w:rFonts w:ascii="Arial" w:hAnsi="Arial" w:cs="Arial"/>
        </w:rPr>
        <w:t>, compared to 13 and 40 respectively at the end of October 2012.</w:t>
      </w:r>
    </w:p>
    <w:p w:rsidR="001C6CC7" w:rsidRPr="009B35EE" w:rsidRDefault="001C6CC7" w:rsidP="00FC7315">
      <w:pPr>
        <w:spacing w:line="270" w:lineRule="atLeast"/>
        <w:jc w:val="both"/>
        <w:rPr>
          <w:rFonts w:ascii="Arial" w:hAnsi="Arial" w:cs="Arial"/>
        </w:rPr>
      </w:pPr>
      <w:r w:rsidRPr="009B35EE">
        <w:rPr>
          <w:rFonts w:ascii="Arial" w:hAnsi="Arial" w:cs="Arial"/>
        </w:rPr>
        <w:t>The number of Gree</w:t>
      </w:r>
      <w:r w:rsidR="00917BB9" w:rsidRPr="009B35EE">
        <w:rPr>
          <w:rFonts w:ascii="Arial" w:hAnsi="Arial" w:cs="Arial"/>
        </w:rPr>
        <w:t xml:space="preserve">n Deal Providers has grown to </w:t>
      </w:r>
      <w:r w:rsidR="005C1D9D" w:rsidRPr="009B35EE">
        <w:rPr>
          <w:rFonts w:ascii="Arial" w:hAnsi="Arial" w:cs="Arial"/>
        </w:rPr>
        <w:t>55</w:t>
      </w:r>
      <w:r w:rsidRPr="009B35EE">
        <w:rPr>
          <w:rFonts w:ascii="Arial" w:hAnsi="Arial" w:cs="Arial"/>
        </w:rPr>
        <w:t xml:space="preserve"> from eight at the end of October</w:t>
      </w:r>
      <w:r w:rsidR="00691EAD" w:rsidRPr="009B35EE">
        <w:rPr>
          <w:rFonts w:ascii="Arial" w:hAnsi="Arial" w:cs="Arial"/>
        </w:rPr>
        <w:t xml:space="preserve"> 2012</w:t>
      </w:r>
      <w:r w:rsidRPr="009B35EE">
        <w:rPr>
          <w:rFonts w:ascii="Arial" w:hAnsi="Arial" w:cs="Arial"/>
        </w:rPr>
        <w:t>.</w:t>
      </w:r>
    </w:p>
    <w:p w:rsidR="00AF4E3A" w:rsidRPr="009B35EE" w:rsidRDefault="001C6CC7" w:rsidP="00FC7315">
      <w:pPr>
        <w:spacing w:line="270" w:lineRule="atLeast"/>
        <w:jc w:val="both"/>
        <w:rPr>
          <w:rFonts w:ascii="Arial" w:hAnsi="Arial" w:cs="Arial"/>
        </w:rPr>
      </w:pPr>
      <w:r w:rsidRPr="009B35EE">
        <w:rPr>
          <w:rFonts w:ascii="Arial" w:hAnsi="Arial" w:cs="Arial"/>
        </w:rPr>
        <w:t>The number of accredited I</w:t>
      </w:r>
      <w:r w:rsidR="00AF4E3A" w:rsidRPr="009B35EE">
        <w:rPr>
          <w:rFonts w:ascii="Arial" w:hAnsi="Arial" w:cs="Arial"/>
        </w:rPr>
        <w:t>nstaller organisations has grown steadily since the accreditation process opened</w:t>
      </w:r>
      <w:r w:rsidR="00FC7315" w:rsidRPr="009B35EE">
        <w:rPr>
          <w:rFonts w:ascii="Arial" w:hAnsi="Arial" w:cs="Arial"/>
        </w:rPr>
        <w:t xml:space="preserve"> from</w:t>
      </w:r>
      <w:r w:rsidR="00700364" w:rsidRPr="009B35EE">
        <w:rPr>
          <w:rFonts w:ascii="Arial" w:hAnsi="Arial" w:cs="Arial"/>
        </w:rPr>
        <w:t xml:space="preserve"> 231 accredited at the end of October</w:t>
      </w:r>
      <w:r w:rsidR="00691EAD" w:rsidRPr="009B35EE">
        <w:rPr>
          <w:rFonts w:ascii="Arial" w:hAnsi="Arial" w:cs="Arial"/>
        </w:rPr>
        <w:t xml:space="preserve"> 2012</w:t>
      </w:r>
      <w:r w:rsidR="00FC7315" w:rsidRPr="009B35EE">
        <w:rPr>
          <w:rFonts w:ascii="Arial" w:hAnsi="Arial" w:cs="Arial"/>
        </w:rPr>
        <w:t xml:space="preserve"> to </w:t>
      </w:r>
      <w:r w:rsidR="00084184" w:rsidRPr="009B35EE">
        <w:rPr>
          <w:rFonts w:ascii="Arial" w:hAnsi="Arial" w:cs="Arial"/>
        </w:rPr>
        <w:t>942</w:t>
      </w:r>
      <w:r w:rsidR="00FC7315" w:rsidRPr="009B35EE">
        <w:rPr>
          <w:rFonts w:ascii="Arial" w:hAnsi="Arial" w:cs="Arial"/>
        </w:rPr>
        <w:t xml:space="preserve"> organisations</w:t>
      </w:r>
      <w:r w:rsidR="00AF4E3A" w:rsidRPr="009B35EE">
        <w:rPr>
          <w:rFonts w:ascii="Arial" w:hAnsi="Arial" w:cs="Arial"/>
        </w:rPr>
        <w:t xml:space="preserve"> </w:t>
      </w:r>
      <w:r w:rsidR="00FC7315" w:rsidRPr="009B35EE">
        <w:rPr>
          <w:rFonts w:ascii="Arial" w:hAnsi="Arial" w:cs="Arial"/>
        </w:rPr>
        <w:t xml:space="preserve">accredited </w:t>
      </w:r>
      <w:r w:rsidR="00AF4E3A" w:rsidRPr="009B35EE">
        <w:rPr>
          <w:rFonts w:ascii="Arial" w:hAnsi="Arial" w:cs="Arial"/>
        </w:rPr>
        <w:t xml:space="preserve">at the end of </w:t>
      </w:r>
      <w:r w:rsidR="00084184" w:rsidRPr="009B35EE">
        <w:rPr>
          <w:rFonts w:ascii="Arial" w:hAnsi="Arial" w:cs="Arial"/>
        </w:rPr>
        <w:t>April</w:t>
      </w:r>
      <w:r w:rsidR="00917BB9" w:rsidRPr="009B35EE">
        <w:rPr>
          <w:rFonts w:ascii="Arial" w:hAnsi="Arial" w:cs="Arial"/>
        </w:rPr>
        <w:t xml:space="preserve"> </w:t>
      </w:r>
      <w:r w:rsidR="00FC7315" w:rsidRPr="009B35EE">
        <w:rPr>
          <w:rFonts w:ascii="Arial" w:hAnsi="Arial" w:cs="Arial"/>
        </w:rPr>
        <w:t>2013</w:t>
      </w:r>
      <w:r w:rsidR="00AF4E3A" w:rsidRPr="009B35EE">
        <w:rPr>
          <w:rFonts w:ascii="Arial" w:hAnsi="Arial" w:cs="Arial"/>
        </w:rPr>
        <w:t xml:space="preserve">. </w:t>
      </w:r>
      <w:bookmarkStart w:id="17" w:name="OLE_LINK7"/>
      <w:r w:rsidR="00AF4E3A" w:rsidRPr="009B35EE">
        <w:rPr>
          <w:rFonts w:ascii="Arial" w:hAnsi="Arial" w:cs="Arial"/>
        </w:rPr>
        <w:t>These organisations will provide a wide range of different measures and in different geographical locations – more analysis</w:t>
      </w:r>
      <w:r w:rsidR="00641DAE">
        <w:rPr>
          <w:rFonts w:ascii="Arial" w:hAnsi="Arial" w:cs="Arial"/>
        </w:rPr>
        <w:t xml:space="preserve">, including </w:t>
      </w:r>
      <w:r w:rsidR="00AF4E3A" w:rsidRPr="009B35EE">
        <w:rPr>
          <w:rFonts w:ascii="Arial" w:hAnsi="Arial" w:cs="Arial"/>
        </w:rPr>
        <w:t>geographic</w:t>
      </w:r>
      <w:r w:rsidR="006345B5">
        <w:rPr>
          <w:rFonts w:ascii="Arial" w:hAnsi="Arial" w:cs="Arial"/>
        </w:rPr>
        <w:t>al</w:t>
      </w:r>
      <w:r w:rsidR="00AF4E3A" w:rsidRPr="009B35EE">
        <w:rPr>
          <w:rFonts w:ascii="Arial" w:hAnsi="Arial" w:cs="Arial"/>
        </w:rPr>
        <w:t xml:space="preserve"> coverage</w:t>
      </w:r>
      <w:r w:rsidR="00641DAE">
        <w:rPr>
          <w:rFonts w:ascii="Arial" w:hAnsi="Arial" w:cs="Arial"/>
        </w:rPr>
        <w:t>,</w:t>
      </w:r>
      <w:r w:rsidR="00AF4E3A" w:rsidRPr="009B35EE">
        <w:rPr>
          <w:rFonts w:ascii="Arial" w:hAnsi="Arial" w:cs="Arial"/>
        </w:rPr>
        <w:t xml:space="preserve"> will be provided in the quarterly statistical reports.</w:t>
      </w:r>
      <w:bookmarkEnd w:id="17"/>
    </w:p>
    <w:p w:rsidR="00AF4E3A" w:rsidRPr="005E6CDA" w:rsidRDefault="00AF4E3A" w:rsidP="00FC7315">
      <w:pPr>
        <w:spacing w:line="270" w:lineRule="atLeast"/>
        <w:jc w:val="both"/>
        <w:rPr>
          <w:rFonts w:ascii="Arial" w:hAnsi="Arial" w:cs="Arial"/>
          <w:color w:val="FF0000"/>
        </w:rPr>
      </w:pPr>
      <w:r w:rsidRPr="005E6CDA">
        <w:rPr>
          <w:rFonts w:ascii="Arial" w:hAnsi="Arial" w:cs="Arial"/>
          <w:color w:val="000000" w:themeColor="text1"/>
        </w:rPr>
        <w:t>The</w:t>
      </w:r>
      <w:r w:rsidRPr="005E6CDA">
        <w:rPr>
          <w:rFonts w:ascii="Arial" w:hAnsi="Arial" w:cs="Arial"/>
          <w:color w:val="FF0000"/>
        </w:rPr>
        <w:t xml:space="preserve"> </w:t>
      </w:r>
      <w:r w:rsidRPr="005E6CDA">
        <w:rPr>
          <w:rFonts w:ascii="Arial" w:hAnsi="Arial" w:cs="Arial"/>
        </w:rPr>
        <w:t>Green Deal Oversight and Regulation Body (ORB)</w:t>
      </w:r>
      <w:r w:rsidR="003C4999" w:rsidRPr="005E6CDA">
        <w:t xml:space="preserve"> </w:t>
      </w:r>
      <w:r w:rsidR="0031143B" w:rsidRPr="005E6CDA">
        <w:rPr>
          <w:rFonts w:ascii="Arial" w:hAnsi="Arial" w:cs="Arial"/>
          <w:color w:val="000000" w:themeColor="text1"/>
        </w:rPr>
        <w:t>produce</w:t>
      </w:r>
      <w:r w:rsidR="00342CE6" w:rsidRPr="005E6CDA">
        <w:rPr>
          <w:rFonts w:ascii="Arial" w:hAnsi="Arial" w:cs="Arial"/>
          <w:color w:val="000000" w:themeColor="text1"/>
        </w:rPr>
        <w:t xml:space="preserve">s publically available </w:t>
      </w:r>
      <w:r w:rsidRPr="005E6CDA">
        <w:rPr>
          <w:rFonts w:ascii="Arial" w:hAnsi="Arial" w:cs="Arial"/>
          <w:color w:val="000000" w:themeColor="text1"/>
        </w:rPr>
        <w:t>information on the supply chain</w:t>
      </w:r>
      <w:r w:rsidR="00B52DE3" w:rsidRPr="005E6CDA">
        <w:rPr>
          <w:rFonts w:ascii="Arial" w:hAnsi="Arial" w:cs="Arial"/>
          <w:color w:val="000000" w:themeColor="text1"/>
        </w:rPr>
        <w:t xml:space="preserve">, </w:t>
      </w:r>
      <w:r w:rsidR="00E25558" w:rsidRPr="005E6CDA">
        <w:rPr>
          <w:rFonts w:ascii="Arial" w:hAnsi="Arial" w:cs="Arial"/>
          <w:color w:val="000000" w:themeColor="text1"/>
        </w:rPr>
        <w:t xml:space="preserve">and the latest figures are available </w:t>
      </w:r>
      <w:r w:rsidR="007E6EC5" w:rsidRPr="005E6CDA">
        <w:rPr>
          <w:rFonts w:ascii="Arial" w:hAnsi="Arial" w:cs="Arial"/>
          <w:color w:val="000000" w:themeColor="text1"/>
        </w:rPr>
        <w:t xml:space="preserve">by using the search tool on the </w:t>
      </w:r>
      <w:hyperlink r:id="rId13" w:history="1">
        <w:r w:rsidR="007E6EC5" w:rsidRPr="005E6CDA">
          <w:rPr>
            <w:rStyle w:val="Hyperlink"/>
            <w:rFonts w:ascii="Arial" w:hAnsi="Arial" w:cs="Arial"/>
          </w:rPr>
          <w:t>ORB website</w:t>
        </w:r>
      </w:hyperlink>
      <w:r w:rsidR="00B52DE3" w:rsidRPr="005E6CDA">
        <w:rPr>
          <w:rFonts w:ascii="Arial" w:hAnsi="Arial" w:cs="Arial"/>
          <w:color w:val="000000" w:themeColor="text1"/>
        </w:rPr>
        <w:t>.</w:t>
      </w:r>
      <w:r w:rsidR="00420C0A" w:rsidRPr="005E6CDA">
        <w:rPr>
          <w:rFonts w:ascii="Arial" w:hAnsi="Arial" w:cs="Arial"/>
          <w:color w:val="000000" w:themeColor="text1"/>
        </w:rPr>
        <w:t xml:space="preserve"> There is also</w:t>
      </w:r>
      <w:r w:rsidRPr="005E6CDA">
        <w:rPr>
          <w:rFonts w:ascii="Arial" w:hAnsi="Arial" w:cs="Arial"/>
          <w:color w:val="000000" w:themeColor="text1"/>
        </w:rPr>
        <w:t xml:space="preserve"> information </w:t>
      </w:r>
      <w:r w:rsidR="00420C0A" w:rsidRPr="005E6CDA">
        <w:rPr>
          <w:rFonts w:ascii="Arial" w:hAnsi="Arial" w:cs="Arial"/>
          <w:color w:val="000000" w:themeColor="text1"/>
        </w:rPr>
        <w:t xml:space="preserve">available </w:t>
      </w:r>
      <w:r w:rsidRPr="005E6CDA">
        <w:rPr>
          <w:rFonts w:ascii="Arial" w:hAnsi="Arial" w:cs="Arial"/>
          <w:color w:val="000000" w:themeColor="text1"/>
        </w:rPr>
        <w:t xml:space="preserve">on </w:t>
      </w:r>
      <w:hyperlink r:id="rId14" w:history="1">
        <w:r w:rsidRPr="005E6CDA">
          <w:rPr>
            <w:rStyle w:val="Hyperlink"/>
            <w:rFonts w:ascii="Arial" w:hAnsi="Arial" w:cs="Arial"/>
          </w:rPr>
          <w:t>contacts in local areas.</w:t>
        </w:r>
      </w:hyperlink>
      <w:r w:rsidRPr="005E6CDA">
        <w:rPr>
          <w:rFonts w:ascii="Arial" w:hAnsi="Arial" w:cs="Arial"/>
          <w:color w:val="FF0000"/>
        </w:rPr>
        <w:t xml:space="preserve"> </w:t>
      </w:r>
    </w:p>
    <w:p w:rsidR="00AF4E3A" w:rsidRPr="005E6CDA" w:rsidRDefault="00AF4E3A" w:rsidP="00FC7315">
      <w:pPr>
        <w:spacing w:line="270" w:lineRule="atLeast"/>
        <w:jc w:val="both"/>
        <w:rPr>
          <w:rFonts w:ascii="Arial" w:hAnsi="Arial" w:cs="Arial"/>
          <w:u w:val="single"/>
        </w:rPr>
      </w:pPr>
      <w:r w:rsidRPr="005E6CDA">
        <w:rPr>
          <w:rFonts w:ascii="Arial" w:hAnsi="Arial" w:cs="Arial"/>
          <w:u w:val="single"/>
        </w:rPr>
        <w:t xml:space="preserve">Green Deal Assessments, </w:t>
      </w:r>
      <w:r w:rsidR="007E6EC5" w:rsidRPr="005E6CDA">
        <w:rPr>
          <w:rFonts w:ascii="Arial" w:hAnsi="Arial" w:cs="Arial"/>
          <w:u w:val="single"/>
        </w:rPr>
        <w:t xml:space="preserve">as at </w:t>
      </w:r>
      <w:r w:rsidRPr="005E6CDA">
        <w:rPr>
          <w:rFonts w:ascii="Arial" w:hAnsi="Arial" w:cs="Arial"/>
          <w:u w:val="single"/>
        </w:rPr>
        <w:t>end</w:t>
      </w:r>
      <w:r w:rsidR="005E6CDA" w:rsidRPr="005E6CDA">
        <w:rPr>
          <w:rFonts w:ascii="Arial" w:hAnsi="Arial" w:cs="Arial"/>
          <w:u w:val="single"/>
        </w:rPr>
        <w:t xml:space="preserve"> April</w:t>
      </w:r>
      <w:r w:rsidR="00785C06" w:rsidRPr="005E6CDA">
        <w:rPr>
          <w:rFonts w:ascii="Arial" w:hAnsi="Arial" w:cs="Arial"/>
          <w:u w:val="single"/>
        </w:rPr>
        <w:t xml:space="preserve"> </w:t>
      </w:r>
      <w:r w:rsidRPr="005E6CDA">
        <w:rPr>
          <w:rFonts w:ascii="Arial" w:hAnsi="Arial" w:cs="Arial"/>
          <w:u w:val="single"/>
        </w:rPr>
        <w:t>(Table 2</w:t>
      </w:r>
      <w:r w:rsidR="000F6B88" w:rsidRPr="005E6CDA">
        <w:rPr>
          <w:rFonts w:ascii="Arial" w:hAnsi="Arial" w:cs="Arial"/>
          <w:u w:val="single"/>
        </w:rPr>
        <w:t xml:space="preserve"> and Chart 1</w:t>
      </w:r>
      <w:r w:rsidRPr="005E6CDA">
        <w:rPr>
          <w:rFonts w:ascii="Arial" w:hAnsi="Arial" w:cs="Arial"/>
          <w:u w:val="single"/>
        </w:rPr>
        <w:t>)</w:t>
      </w:r>
    </w:p>
    <w:p w:rsidR="00AF4E3A" w:rsidRPr="005E6CDA" w:rsidRDefault="00AF4E3A" w:rsidP="00FC7315">
      <w:pPr>
        <w:spacing w:line="270" w:lineRule="atLeast"/>
        <w:jc w:val="both"/>
        <w:rPr>
          <w:rFonts w:ascii="Arial" w:hAnsi="Arial" w:cs="Arial"/>
        </w:rPr>
      </w:pPr>
      <w:r w:rsidRPr="005E6CDA">
        <w:rPr>
          <w:rFonts w:ascii="Arial" w:hAnsi="Arial" w:cs="Arial"/>
        </w:rPr>
        <w:t>The first step in the Green Deal</w:t>
      </w:r>
      <w:r w:rsidR="001C6CC7" w:rsidRPr="005E6CDA">
        <w:rPr>
          <w:rFonts w:ascii="Arial" w:hAnsi="Arial" w:cs="Arial"/>
        </w:rPr>
        <w:t xml:space="preserve"> process involves a Green Deal A</w:t>
      </w:r>
      <w:r w:rsidRPr="005E6CDA">
        <w:rPr>
          <w:rFonts w:ascii="Arial" w:hAnsi="Arial" w:cs="Arial"/>
        </w:rPr>
        <w:t xml:space="preserve">ssessor coming to the home, talking to the owner/occupier about their energy use and seeing if they can benefit from making energy efficiency improvements to their </w:t>
      </w:r>
      <w:r w:rsidR="007E6EC5" w:rsidRPr="005E6CDA">
        <w:rPr>
          <w:rFonts w:ascii="Arial" w:hAnsi="Arial" w:cs="Arial"/>
        </w:rPr>
        <w:t>property</w:t>
      </w:r>
      <w:r w:rsidRPr="005E6CDA">
        <w:rPr>
          <w:rFonts w:ascii="Arial" w:hAnsi="Arial" w:cs="Arial"/>
        </w:rPr>
        <w:t>.</w:t>
      </w:r>
    </w:p>
    <w:p w:rsidR="00AF4E3A" w:rsidRPr="00AC0366" w:rsidRDefault="00AF4E3A" w:rsidP="00FC7315">
      <w:pPr>
        <w:spacing w:line="270" w:lineRule="atLeast"/>
        <w:jc w:val="both"/>
        <w:rPr>
          <w:rFonts w:ascii="Arial" w:hAnsi="Arial" w:cs="Arial"/>
        </w:rPr>
      </w:pPr>
      <w:r w:rsidRPr="00AC0366">
        <w:rPr>
          <w:rFonts w:ascii="Arial" w:hAnsi="Arial" w:cs="Arial"/>
        </w:rPr>
        <w:t>The main outp</w:t>
      </w:r>
      <w:r w:rsidR="005E6CDA" w:rsidRPr="00AC0366">
        <w:rPr>
          <w:rFonts w:ascii="Arial" w:hAnsi="Arial" w:cs="Arial"/>
        </w:rPr>
        <w:t xml:space="preserve">ut from this process is that a Green Deal Advice Report (using information from an </w:t>
      </w:r>
      <w:r w:rsidRPr="00AC0366">
        <w:rPr>
          <w:rFonts w:ascii="Arial" w:hAnsi="Arial" w:cs="Arial"/>
        </w:rPr>
        <w:t>Energy Performance Certi</w:t>
      </w:r>
      <w:r w:rsidR="005E6CDA" w:rsidRPr="00AC0366">
        <w:rPr>
          <w:rFonts w:ascii="Arial" w:hAnsi="Arial" w:cs="Arial"/>
        </w:rPr>
        <w:t xml:space="preserve">ficate and Occupancy Assessment) </w:t>
      </w:r>
      <w:r w:rsidRPr="00AC0366">
        <w:rPr>
          <w:rFonts w:ascii="Arial" w:hAnsi="Arial" w:cs="Arial"/>
        </w:rPr>
        <w:t>will be produced and will be lodged on a national register. The householder is then able to view the energy efficiency measures which have been recommended and understand the potential costs and savings.</w:t>
      </w:r>
    </w:p>
    <w:p w:rsidR="00AF4E3A" w:rsidRPr="00AC0366" w:rsidRDefault="00AF4E3A" w:rsidP="00FC7315">
      <w:pPr>
        <w:spacing w:line="270" w:lineRule="atLeast"/>
        <w:jc w:val="both"/>
        <w:rPr>
          <w:rFonts w:ascii="Arial" w:hAnsi="Arial" w:cs="Arial"/>
        </w:rPr>
      </w:pPr>
      <w:r w:rsidRPr="00AC0366">
        <w:rPr>
          <w:rFonts w:ascii="Arial" w:hAnsi="Arial" w:cs="Arial"/>
        </w:rPr>
        <w:t xml:space="preserve">For more information on the </w:t>
      </w:r>
      <w:hyperlink r:id="rId15" w:anchor="getting-your-home-assessed" w:history="1">
        <w:r w:rsidRPr="00AC0366">
          <w:rPr>
            <w:rStyle w:val="Hyperlink"/>
            <w:rFonts w:ascii="Arial" w:hAnsi="Arial" w:cs="Arial"/>
          </w:rPr>
          <w:t>GD assessment process see here</w:t>
        </w:r>
      </w:hyperlink>
      <w:r w:rsidRPr="00AC0366">
        <w:rPr>
          <w:rFonts w:ascii="Arial" w:hAnsi="Arial" w:cs="Arial"/>
        </w:rPr>
        <w:t>.</w:t>
      </w:r>
    </w:p>
    <w:p w:rsidR="00342CE6" w:rsidRPr="00083498" w:rsidRDefault="00FA09B5" w:rsidP="00083498">
      <w:pPr>
        <w:pStyle w:val="ListParagraph"/>
        <w:spacing w:after="200"/>
        <w:ind w:left="0"/>
        <w:contextualSpacing/>
        <w:jc w:val="both"/>
        <w:rPr>
          <w:rFonts w:ascii="Arial" w:hAnsi="Arial" w:cs="Arial"/>
        </w:rPr>
      </w:pPr>
      <w:r w:rsidRPr="00083498">
        <w:rPr>
          <w:rFonts w:ascii="Arial" w:hAnsi="Arial" w:cs="Arial"/>
        </w:rPr>
        <w:t xml:space="preserve">At the end of April, there were 18,816 GD Assessments lodged in total, up from 9,294 at end of March. </w:t>
      </w:r>
      <w:r w:rsidR="00083498" w:rsidRPr="00083498">
        <w:rPr>
          <w:rFonts w:ascii="Arial" w:hAnsi="Arial" w:cs="Arial"/>
        </w:rPr>
        <w:t xml:space="preserve">There were </w:t>
      </w:r>
      <w:r w:rsidRPr="00083498">
        <w:rPr>
          <w:rFonts w:ascii="Arial" w:hAnsi="Arial" w:cs="Arial"/>
        </w:rPr>
        <w:t>9,522</w:t>
      </w:r>
      <w:r w:rsidR="00083498" w:rsidRPr="00083498">
        <w:rPr>
          <w:rFonts w:ascii="Arial" w:hAnsi="Arial" w:cs="Arial"/>
        </w:rPr>
        <w:t xml:space="preserve"> GD Assessments lodged</w:t>
      </w:r>
      <w:r w:rsidRPr="00083498">
        <w:rPr>
          <w:rFonts w:ascii="Arial" w:hAnsi="Arial" w:cs="Arial"/>
        </w:rPr>
        <w:t xml:space="preserve"> in April alone, compared to 7,491</w:t>
      </w:r>
      <w:r w:rsidR="00083498" w:rsidRPr="00083498">
        <w:rPr>
          <w:rFonts w:ascii="Arial" w:hAnsi="Arial" w:cs="Arial"/>
        </w:rPr>
        <w:t xml:space="preserve"> in March and 1,729 in February</w:t>
      </w:r>
      <w:r w:rsidR="00AF4E3A" w:rsidRPr="00083498">
        <w:rPr>
          <w:rFonts w:ascii="Arial" w:hAnsi="Arial" w:cs="Arial"/>
        </w:rPr>
        <w:t>, following the main launch of the Green Deal in late January.</w:t>
      </w:r>
      <w:r w:rsidR="00871BF3" w:rsidRPr="00083498">
        <w:rPr>
          <w:rFonts w:ascii="Arial" w:hAnsi="Arial" w:cs="Arial"/>
        </w:rPr>
        <w:t xml:space="preserve"> </w:t>
      </w:r>
      <w:hyperlink w:anchor="Chart1" w:history="1">
        <w:r w:rsidR="00095AA8" w:rsidRPr="00083498">
          <w:rPr>
            <w:rStyle w:val="Hyperlink"/>
            <w:rFonts w:ascii="Arial" w:hAnsi="Arial" w:cs="Arial"/>
          </w:rPr>
          <w:t>Chart 1</w:t>
        </w:r>
      </w:hyperlink>
      <w:r w:rsidR="00095AA8" w:rsidRPr="00083498">
        <w:t xml:space="preserve"> </w:t>
      </w:r>
      <w:r w:rsidR="00871BF3" w:rsidRPr="00083498">
        <w:rPr>
          <w:rFonts w:ascii="Arial" w:hAnsi="Arial" w:cs="Arial"/>
        </w:rPr>
        <w:t xml:space="preserve">shows the </w:t>
      </w:r>
      <w:r w:rsidR="00D51D32" w:rsidRPr="00083498">
        <w:rPr>
          <w:rFonts w:ascii="Arial" w:hAnsi="Arial" w:cs="Arial"/>
        </w:rPr>
        <w:t xml:space="preserve">number of assessments </w:t>
      </w:r>
      <w:r w:rsidR="008F0F5E" w:rsidRPr="00083498">
        <w:rPr>
          <w:rFonts w:ascii="Arial" w:hAnsi="Arial" w:cs="Arial"/>
        </w:rPr>
        <w:t>lodged</w:t>
      </w:r>
      <w:r w:rsidR="00AC0366">
        <w:rPr>
          <w:rFonts w:ascii="Arial" w:hAnsi="Arial" w:cs="Arial"/>
        </w:rPr>
        <w:t xml:space="preserve"> by month</w:t>
      </w:r>
      <w:r w:rsidR="00871BF3" w:rsidRPr="00083498">
        <w:rPr>
          <w:rFonts w:ascii="Arial" w:hAnsi="Arial" w:cs="Arial"/>
        </w:rPr>
        <w:t>.</w:t>
      </w:r>
    </w:p>
    <w:p w:rsidR="00AF4E3A" w:rsidRPr="00083498" w:rsidRDefault="00AF4E3A" w:rsidP="00FC7315">
      <w:pPr>
        <w:spacing w:line="270" w:lineRule="atLeast"/>
        <w:jc w:val="both"/>
        <w:rPr>
          <w:rFonts w:ascii="Arial" w:hAnsi="Arial" w:cs="Arial"/>
          <w:u w:val="single"/>
        </w:rPr>
      </w:pPr>
      <w:r w:rsidRPr="00083498">
        <w:rPr>
          <w:rFonts w:ascii="Arial" w:hAnsi="Arial" w:cs="Arial"/>
          <w:u w:val="single"/>
        </w:rPr>
        <w:t xml:space="preserve">ECO brokerage, </w:t>
      </w:r>
      <w:r w:rsidR="007E6EC5" w:rsidRPr="00083498">
        <w:rPr>
          <w:rFonts w:ascii="Arial" w:hAnsi="Arial" w:cs="Arial"/>
          <w:u w:val="single"/>
        </w:rPr>
        <w:t xml:space="preserve">as at </w:t>
      </w:r>
      <w:r w:rsidR="00FC7315" w:rsidRPr="00083498">
        <w:rPr>
          <w:rFonts w:ascii="Arial" w:hAnsi="Arial" w:cs="Arial"/>
          <w:u w:val="single"/>
        </w:rPr>
        <w:t xml:space="preserve">end </w:t>
      </w:r>
      <w:r w:rsidR="00083498" w:rsidRPr="00083498">
        <w:rPr>
          <w:rFonts w:ascii="Arial" w:hAnsi="Arial" w:cs="Arial"/>
          <w:u w:val="single"/>
        </w:rPr>
        <w:t>April</w:t>
      </w:r>
      <w:r w:rsidR="00785C06" w:rsidRPr="00083498">
        <w:rPr>
          <w:rFonts w:ascii="Arial" w:hAnsi="Arial" w:cs="Arial"/>
          <w:u w:val="single"/>
        </w:rPr>
        <w:t xml:space="preserve"> </w:t>
      </w:r>
      <w:r w:rsidR="00FC7315" w:rsidRPr="00083498">
        <w:rPr>
          <w:rFonts w:ascii="Arial" w:hAnsi="Arial" w:cs="Arial"/>
          <w:u w:val="single"/>
        </w:rPr>
        <w:t>(</w:t>
      </w:r>
      <w:r w:rsidR="000F6B88" w:rsidRPr="00083498">
        <w:rPr>
          <w:rFonts w:ascii="Arial" w:hAnsi="Arial" w:cs="Arial"/>
          <w:u w:val="single"/>
        </w:rPr>
        <w:t xml:space="preserve">Table 3 and </w:t>
      </w:r>
      <w:r w:rsidR="00FC7315" w:rsidRPr="00083498">
        <w:rPr>
          <w:rFonts w:ascii="Arial" w:hAnsi="Arial" w:cs="Arial"/>
          <w:u w:val="single"/>
        </w:rPr>
        <w:t>Chart</w:t>
      </w:r>
      <w:r w:rsidRPr="00083498">
        <w:rPr>
          <w:rFonts w:ascii="Arial" w:hAnsi="Arial" w:cs="Arial"/>
          <w:u w:val="single"/>
        </w:rPr>
        <w:t xml:space="preserve"> 3)</w:t>
      </w:r>
    </w:p>
    <w:p w:rsidR="00AF4E3A" w:rsidRPr="00083498" w:rsidRDefault="00AF4E3A" w:rsidP="00FC7315">
      <w:pPr>
        <w:pStyle w:val="NormalWeb"/>
        <w:spacing w:line="270" w:lineRule="atLeast"/>
        <w:jc w:val="both"/>
        <w:rPr>
          <w:rFonts w:ascii="Arial" w:hAnsi="Arial" w:cs="Arial"/>
          <w:sz w:val="22"/>
          <w:szCs w:val="22"/>
        </w:rPr>
      </w:pPr>
      <w:r w:rsidRPr="00083498">
        <w:rPr>
          <w:rFonts w:ascii="Arial" w:hAnsi="Arial" w:cs="Arial"/>
          <w:sz w:val="22"/>
          <w:szCs w:val="22"/>
        </w:rPr>
        <w:t xml:space="preserve">The </w:t>
      </w:r>
      <w:hyperlink r:id="rId16" w:history="1">
        <w:r w:rsidRPr="00083498">
          <w:rPr>
            <w:rStyle w:val="Hyperlink"/>
            <w:rFonts w:ascii="Arial" w:hAnsi="Arial" w:cs="Arial"/>
            <w:sz w:val="22"/>
            <w:szCs w:val="22"/>
          </w:rPr>
          <w:t>ECO Brokerage</w:t>
        </w:r>
      </w:hyperlink>
      <w:r w:rsidRPr="00083498">
        <w:rPr>
          <w:rFonts w:ascii="Arial" w:hAnsi="Arial" w:cs="Arial"/>
          <w:sz w:val="22"/>
          <w:szCs w:val="22"/>
        </w:rPr>
        <w:t xml:space="preserve"> system operates as a fortnightly anonymous auction where providers can sell ‘lots’ of</w:t>
      </w:r>
      <w:r w:rsidR="00A27E5E" w:rsidRPr="00083498">
        <w:rPr>
          <w:rFonts w:ascii="Arial" w:hAnsi="Arial" w:cs="Arial"/>
          <w:sz w:val="22"/>
          <w:szCs w:val="22"/>
        </w:rPr>
        <w:t xml:space="preserve"> future measures of</w:t>
      </w:r>
      <w:r w:rsidRPr="00083498">
        <w:rPr>
          <w:rFonts w:ascii="Arial" w:hAnsi="Arial" w:cs="Arial"/>
          <w:sz w:val="22"/>
          <w:szCs w:val="22"/>
        </w:rPr>
        <w:t xml:space="preserve"> ECO Carbon Saving Obligation, ECO Carbon Saving Communities and ECO Affordable Warmth, to energy companies in return for ECO subsidy.</w:t>
      </w:r>
    </w:p>
    <w:p w:rsidR="00AF4E3A" w:rsidRPr="00B42A34" w:rsidRDefault="00AF4E3A" w:rsidP="00FC7315">
      <w:pPr>
        <w:pStyle w:val="NormalWeb"/>
        <w:spacing w:line="270" w:lineRule="atLeast"/>
        <w:jc w:val="both"/>
        <w:rPr>
          <w:rFonts w:ascii="Arial" w:hAnsi="Arial" w:cs="Arial"/>
          <w:sz w:val="22"/>
          <w:szCs w:val="22"/>
          <w:highlight w:val="yellow"/>
        </w:rPr>
      </w:pPr>
    </w:p>
    <w:p w:rsidR="000033F6" w:rsidRPr="00A36E67" w:rsidRDefault="00AF4E3A" w:rsidP="00FC7315">
      <w:pPr>
        <w:pStyle w:val="NormalWeb"/>
        <w:spacing w:line="270" w:lineRule="atLeast"/>
        <w:jc w:val="both"/>
        <w:rPr>
          <w:rFonts w:ascii="Arial" w:hAnsi="Arial" w:cs="Arial"/>
          <w:sz w:val="22"/>
          <w:szCs w:val="22"/>
        </w:rPr>
      </w:pPr>
      <w:r w:rsidRPr="00A36E67">
        <w:rPr>
          <w:rFonts w:ascii="Arial" w:hAnsi="Arial" w:cs="Arial"/>
          <w:sz w:val="22"/>
          <w:szCs w:val="22"/>
        </w:rPr>
        <w:t xml:space="preserve">At the end of </w:t>
      </w:r>
      <w:r w:rsidR="00083498" w:rsidRPr="00A36E67">
        <w:rPr>
          <w:rFonts w:ascii="Arial" w:hAnsi="Arial" w:cs="Arial"/>
          <w:sz w:val="22"/>
          <w:szCs w:val="22"/>
        </w:rPr>
        <w:t xml:space="preserve">April </w:t>
      </w:r>
      <w:r w:rsidRPr="00A36E67">
        <w:rPr>
          <w:rFonts w:ascii="Arial" w:hAnsi="Arial" w:cs="Arial"/>
          <w:sz w:val="22"/>
          <w:szCs w:val="22"/>
        </w:rPr>
        <w:t xml:space="preserve">there have been </w:t>
      </w:r>
      <w:r w:rsidR="00083498" w:rsidRPr="00A36E67">
        <w:rPr>
          <w:rFonts w:ascii="Arial" w:hAnsi="Arial" w:cs="Arial"/>
          <w:sz w:val="22"/>
          <w:szCs w:val="22"/>
        </w:rPr>
        <w:t>eight</w:t>
      </w:r>
      <w:r w:rsidRPr="00A36E67">
        <w:rPr>
          <w:rFonts w:ascii="Arial" w:hAnsi="Arial" w:cs="Arial"/>
          <w:sz w:val="22"/>
          <w:szCs w:val="22"/>
        </w:rPr>
        <w:t xml:space="preserve"> auctions, with a total value of contracts let worth £</w:t>
      </w:r>
      <w:r w:rsidR="00083498" w:rsidRPr="00A36E67">
        <w:rPr>
          <w:rFonts w:ascii="Arial" w:hAnsi="Arial" w:cs="Arial"/>
          <w:sz w:val="22"/>
          <w:szCs w:val="22"/>
        </w:rPr>
        <w:t>85.5</w:t>
      </w:r>
      <w:r w:rsidRPr="00A36E67">
        <w:rPr>
          <w:rFonts w:ascii="Arial" w:hAnsi="Arial" w:cs="Arial"/>
          <w:sz w:val="22"/>
          <w:szCs w:val="22"/>
        </w:rPr>
        <w:t xml:space="preserve"> million</w:t>
      </w:r>
      <w:r w:rsidR="00A36E67" w:rsidRPr="00A36E67">
        <w:rPr>
          <w:rFonts w:ascii="Arial" w:hAnsi="Arial" w:cs="Arial"/>
          <w:sz w:val="22"/>
          <w:szCs w:val="22"/>
        </w:rPr>
        <w:t xml:space="preserve"> with</w:t>
      </w:r>
      <w:r w:rsidR="00031B95" w:rsidRPr="00A36E67">
        <w:rPr>
          <w:rFonts w:ascii="Arial" w:hAnsi="Arial" w:cs="Arial"/>
          <w:sz w:val="22"/>
          <w:szCs w:val="22"/>
        </w:rPr>
        <w:t xml:space="preserve"> </w:t>
      </w:r>
      <w:r w:rsidR="00A36E67" w:rsidRPr="00A36E67">
        <w:rPr>
          <w:rFonts w:ascii="Arial" w:hAnsi="Arial" w:cs="Arial"/>
          <w:sz w:val="22"/>
          <w:szCs w:val="22"/>
        </w:rPr>
        <w:t xml:space="preserve">125 </w:t>
      </w:r>
      <w:r w:rsidR="00031B95" w:rsidRPr="00A36E67">
        <w:rPr>
          <w:rFonts w:ascii="Arial" w:hAnsi="Arial" w:cs="Arial"/>
          <w:sz w:val="22"/>
          <w:szCs w:val="22"/>
        </w:rPr>
        <w:t>lots sold to date</w:t>
      </w:r>
      <w:bookmarkStart w:id="18" w:name="_GoBack"/>
      <w:bookmarkEnd w:id="18"/>
      <w:r w:rsidR="00A36E67" w:rsidRPr="00A36E67">
        <w:rPr>
          <w:rFonts w:ascii="Arial" w:hAnsi="Arial" w:cs="Arial"/>
          <w:sz w:val="22"/>
          <w:szCs w:val="22"/>
        </w:rPr>
        <w:t>.</w:t>
      </w:r>
    </w:p>
    <w:p w:rsidR="00FC7315" w:rsidRPr="00B42A34" w:rsidRDefault="00FC7315" w:rsidP="00FC7315">
      <w:pPr>
        <w:pStyle w:val="NormalWeb"/>
        <w:spacing w:line="270" w:lineRule="atLeast"/>
        <w:jc w:val="both"/>
        <w:rPr>
          <w:rFonts w:ascii="Arial" w:hAnsi="Arial" w:cs="Arial"/>
          <w:sz w:val="22"/>
          <w:szCs w:val="22"/>
          <w:highlight w:val="yellow"/>
        </w:rPr>
      </w:pPr>
      <w:bookmarkStart w:id="19" w:name="OLE_LINK9"/>
    </w:p>
    <w:p w:rsidR="00FC7315" w:rsidRPr="00B42A34" w:rsidRDefault="00FC7315" w:rsidP="00FC7315">
      <w:pPr>
        <w:pStyle w:val="NormalWeb"/>
        <w:spacing w:line="270" w:lineRule="atLeast"/>
        <w:jc w:val="both"/>
        <w:rPr>
          <w:rFonts w:ascii="Arial" w:hAnsi="Arial" w:cs="Arial"/>
          <w:sz w:val="22"/>
          <w:szCs w:val="22"/>
          <w:highlight w:val="yellow"/>
        </w:rPr>
      </w:pPr>
    </w:p>
    <w:p w:rsidR="00FC7315" w:rsidRPr="00B42A34" w:rsidRDefault="00FC7315" w:rsidP="00FC7315">
      <w:pPr>
        <w:pStyle w:val="NormalWeb"/>
        <w:spacing w:line="270" w:lineRule="atLeast"/>
        <w:jc w:val="both"/>
        <w:rPr>
          <w:rFonts w:ascii="Arial" w:hAnsi="Arial" w:cs="Arial"/>
          <w:sz w:val="22"/>
          <w:szCs w:val="22"/>
          <w:highlight w:val="yellow"/>
        </w:rPr>
      </w:pPr>
    </w:p>
    <w:p w:rsidR="00FC7315" w:rsidRPr="00B42A34" w:rsidRDefault="00FC7315" w:rsidP="00FC7315">
      <w:pPr>
        <w:pStyle w:val="NormalWeb"/>
        <w:spacing w:line="270" w:lineRule="atLeast"/>
        <w:jc w:val="both"/>
        <w:rPr>
          <w:rFonts w:ascii="Arial" w:hAnsi="Arial" w:cs="Arial"/>
          <w:sz w:val="22"/>
          <w:szCs w:val="22"/>
          <w:highlight w:val="yellow"/>
        </w:rPr>
      </w:pPr>
    </w:p>
    <w:p w:rsidR="00FC7315" w:rsidRPr="00B42A34" w:rsidRDefault="00FC7315" w:rsidP="00FC7315">
      <w:pPr>
        <w:pStyle w:val="NormalWeb"/>
        <w:spacing w:line="270" w:lineRule="atLeast"/>
        <w:jc w:val="both"/>
        <w:rPr>
          <w:rFonts w:ascii="Arial" w:hAnsi="Arial" w:cs="Arial"/>
          <w:sz w:val="22"/>
          <w:szCs w:val="22"/>
          <w:highlight w:val="yellow"/>
        </w:rPr>
      </w:pPr>
    </w:p>
    <w:p w:rsidR="00FC7315" w:rsidRPr="00B42A34" w:rsidRDefault="00FC7315" w:rsidP="00FC7315">
      <w:pPr>
        <w:pStyle w:val="NormalWeb"/>
        <w:spacing w:line="270" w:lineRule="atLeast"/>
        <w:jc w:val="both"/>
        <w:rPr>
          <w:rFonts w:ascii="Arial" w:hAnsi="Arial" w:cs="Arial"/>
          <w:sz w:val="22"/>
          <w:szCs w:val="22"/>
          <w:highlight w:val="yellow"/>
        </w:rPr>
      </w:pPr>
    </w:p>
    <w:p w:rsidR="00FC7315" w:rsidRPr="00B42A34" w:rsidRDefault="00FC7315" w:rsidP="00FC7315">
      <w:pPr>
        <w:pStyle w:val="NormalWeb"/>
        <w:spacing w:line="270" w:lineRule="atLeast"/>
        <w:jc w:val="both"/>
        <w:rPr>
          <w:rFonts w:ascii="Arial" w:hAnsi="Arial" w:cs="Arial"/>
          <w:sz w:val="22"/>
          <w:szCs w:val="22"/>
          <w:highlight w:val="yellow"/>
        </w:rPr>
      </w:pPr>
    </w:p>
    <w:p w:rsidR="00FC7315" w:rsidRPr="00B42A34" w:rsidRDefault="00FC7315" w:rsidP="00FC7315">
      <w:pPr>
        <w:pStyle w:val="NormalWeb"/>
        <w:spacing w:line="270" w:lineRule="atLeast"/>
        <w:jc w:val="both"/>
        <w:rPr>
          <w:rFonts w:ascii="Arial" w:hAnsi="Arial" w:cs="Arial"/>
          <w:sz w:val="22"/>
          <w:szCs w:val="22"/>
          <w:highlight w:val="yellow"/>
        </w:rPr>
      </w:pPr>
    </w:p>
    <w:p w:rsidR="00FC7315" w:rsidRPr="00B42A34" w:rsidRDefault="00FC7315" w:rsidP="00FC7315">
      <w:pPr>
        <w:pStyle w:val="NormalWeb"/>
        <w:spacing w:line="270" w:lineRule="atLeast"/>
        <w:jc w:val="both"/>
        <w:rPr>
          <w:rFonts w:ascii="Arial" w:hAnsi="Arial" w:cs="Arial"/>
          <w:sz w:val="22"/>
          <w:szCs w:val="22"/>
          <w:highlight w:val="yellow"/>
        </w:rPr>
      </w:pPr>
    </w:p>
    <w:p w:rsidR="00FC7315" w:rsidRPr="00B42A34" w:rsidRDefault="00FC7315" w:rsidP="00FC7315">
      <w:pPr>
        <w:pStyle w:val="NormalWeb"/>
        <w:spacing w:line="270" w:lineRule="atLeast"/>
        <w:jc w:val="both"/>
        <w:rPr>
          <w:rFonts w:ascii="Arial" w:hAnsi="Arial" w:cs="Arial"/>
          <w:sz w:val="22"/>
          <w:szCs w:val="22"/>
          <w:highlight w:val="yellow"/>
        </w:rPr>
      </w:pPr>
    </w:p>
    <w:p w:rsidR="00FC7315" w:rsidRPr="00B42A34" w:rsidRDefault="00FC7315" w:rsidP="00FC7315">
      <w:pPr>
        <w:pStyle w:val="NormalWeb"/>
        <w:spacing w:line="270" w:lineRule="atLeast"/>
        <w:jc w:val="both"/>
        <w:rPr>
          <w:rFonts w:ascii="Arial" w:hAnsi="Arial" w:cs="Arial"/>
          <w:sz w:val="22"/>
          <w:szCs w:val="22"/>
          <w:highlight w:val="yellow"/>
        </w:rPr>
      </w:pPr>
    </w:p>
    <w:p w:rsidR="00FC7315" w:rsidRPr="00B42A34" w:rsidRDefault="00FC7315" w:rsidP="00FC7315">
      <w:pPr>
        <w:pStyle w:val="NormalWeb"/>
        <w:spacing w:line="270" w:lineRule="atLeast"/>
        <w:jc w:val="both"/>
        <w:rPr>
          <w:rFonts w:ascii="Arial" w:hAnsi="Arial" w:cs="Arial"/>
          <w:sz w:val="22"/>
          <w:szCs w:val="22"/>
          <w:highlight w:val="yellow"/>
        </w:rPr>
      </w:pPr>
    </w:p>
    <w:p w:rsidR="00FC7315" w:rsidRPr="00A36E67" w:rsidRDefault="00FC7315" w:rsidP="00FC7315">
      <w:pPr>
        <w:pStyle w:val="NormalWeb"/>
        <w:spacing w:line="270" w:lineRule="atLeast"/>
        <w:jc w:val="both"/>
        <w:rPr>
          <w:rFonts w:ascii="Arial" w:hAnsi="Arial" w:cs="Arial"/>
          <w:sz w:val="22"/>
          <w:szCs w:val="22"/>
        </w:rPr>
      </w:pPr>
    </w:p>
    <w:p w:rsidR="00871BF3" w:rsidRPr="00A36E67" w:rsidRDefault="00871BF3" w:rsidP="00FC7315">
      <w:pPr>
        <w:pStyle w:val="NormalWeb"/>
        <w:spacing w:line="270" w:lineRule="atLeast"/>
        <w:jc w:val="both"/>
        <w:rPr>
          <w:rFonts w:ascii="Arial" w:hAnsi="Arial" w:cs="Arial"/>
          <w:sz w:val="22"/>
          <w:szCs w:val="22"/>
        </w:rPr>
      </w:pPr>
      <w:r w:rsidRPr="00A36E67">
        <w:rPr>
          <w:rFonts w:ascii="Arial" w:hAnsi="Arial" w:cs="Arial"/>
          <w:sz w:val="22"/>
          <w:szCs w:val="22"/>
        </w:rPr>
        <w:t xml:space="preserve">Chart 3 </w:t>
      </w:r>
      <w:bookmarkEnd w:id="19"/>
      <w:r w:rsidRPr="00A36E67">
        <w:rPr>
          <w:rFonts w:ascii="Arial" w:hAnsi="Arial" w:cs="Arial"/>
          <w:sz w:val="22"/>
          <w:szCs w:val="22"/>
        </w:rPr>
        <w:t xml:space="preserve">– Value of </w:t>
      </w:r>
      <w:r w:rsidR="002E3AC5" w:rsidRPr="00A36E67">
        <w:rPr>
          <w:rFonts w:ascii="Arial" w:hAnsi="Arial" w:cs="Arial"/>
          <w:sz w:val="22"/>
          <w:szCs w:val="22"/>
        </w:rPr>
        <w:t xml:space="preserve">ECO brokerage </w:t>
      </w:r>
      <w:r w:rsidRPr="00A36E67">
        <w:rPr>
          <w:rFonts w:ascii="Arial" w:hAnsi="Arial" w:cs="Arial"/>
          <w:sz w:val="22"/>
          <w:szCs w:val="22"/>
        </w:rPr>
        <w:t>contracts let, by auction</w:t>
      </w:r>
    </w:p>
    <w:p w:rsidR="00871BF3" w:rsidRDefault="00871BF3" w:rsidP="00FC7315">
      <w:pPr>
        <w:pStyle w:val="NormalWeb"/>
        <w:spacing w:line="270" w:lineRule="atLeast"/>
        <w:jc w:val="both"/>
        <w:rPr>
          <w:rFonts w:ascii="Arial" w:hAnsi="Arial" w:cs="Arial"/>
          <w:sz w:val="22"/>
          <w:szCs w:val="22"/>
          <w:highlight w:val="yellow"/>
        </w:rPr>
      </w:pPr>
    </w:p>
    <w:p w:rsidR="00A36E67" w:rsidRPr="00B42A34" w:rsidRDefault="00C37190" w:rsidP="00FC7315">
      <w:pPr>
        <w:pStyle w:val="NormalWeb"/>
        <w:spacing w:line="270" w:lineRule="atLeast"/>
        <w:jc w:val="both"/>
        <w:rPr>
          <w:rFonts w:ascii="Arial" w:hAnsi="Arial" w:cs="Arial"/>
          <w:sz w:val="22"/>
          <w:szCs w:val="22"/>
          <w:highlight w:val="yellow"/>
        </w:rPr>
      </w:pPr>
      <w:r w:rsidRPr="004756E6">
        <w:rPr>
          <w:szCs w:val="22"/>
        </w:rPr>
        <w:pict>
          <v:shape id="_x0000_i1027" type="#_x0000_t75" style="width:451.5pt;height:295.5pt">
            <v:imagedata r:id="rId17" o:title=""/>
          </v:shape>
        </w:pict>
      </w:r>
    </w:p>
    <w:p w:rsidR="00AF4E3A" w:rsidRPr="00A36E67" w:rsidRDefault="00AF4E3A" w:rsidP="00FC7315">
      <w:pPr>
        <w:spacing w:line="270" w:lineRule="atLeast"/>
        <w:rPr>
          <w:rFonts w:ascii="Arial" w:hAnsi="Arial" w:cs="Arial"/>
          <w:color w:val="FF0000"/>
        </w:rPr>
      </w:pPr>
    </w:p>
    <w:p w:rsidR="00242766" w:rsidRPr="00B42A34" w:rsidRDefault="00A27E5E" w:rsidP="00FC7315">
      <w:pPr>
        <w:spacing w:after="120" w:line="270" w:lineRule="atLeast"/>
        <w:rPr>
          <w:rFonts w:ascii="Arial" w:hAnsi="Arial" w:cs="Arial"/>
          <w:b/>
          <w:bCs/>
          <w:highlight w:val="yellow"/>
        </w:rPr>
      </w:pPr>
      <w:r w:rsidRPr="00A36E67">
        <w:rPr>
          <w:rFonts w:ascii="Arial" w:hAnsi="Arial" w:cs="Arial"/>
          <w:bCs/>
        </w:rPr>
        <w:t xml:space="preserve">For more detail on the results of each auction, please see </w:t>
      </w:r>
      <w:hyperlink r:id="rId18" w:history="1">
        <w:r w:rsidRPr="00A36E67">
          <w:rPr>
            <w:rStyle w:val="Hyperlink"/>
            <w:rFonts w:ascii="Arial" w:hAnsi="Arial" w:cs="Arial"/>
          </w:rPr>
          <w:t>ECO Brokerage</w:t>
        </w:r>
      </w:hyperlink>
      <w:r w:rsidRPr="00A36E67">
        <w:rPr>
          <w:rStyle w:val="Hyperlink"/>
          <w:rFonts w:ascii="Arial" w:hAnsi="Arial" w:cs="Arial"/>
        </w:rPr>
        <w:t>.</w:t>
      </w:r>
      <w:r w:rsidR="00132AE0" w:rsidRPr="00B42A34">
        <w:rPr>
          <w:rFonts w:ascii="Arial" w:hAnsi="Arial" w:cs="Arial"/>
          <w:b/>
          <w:bCs/>
          <w:highlight w:val="yellow"/>
        </w:rPr>
        <w:br w:type="page"/>
      </w:r>
      <w:bookmarkStart w:id="20" w:name="OLE_LINK8"/>
      <w:bookmarkEnd w:id="20"/>
      <w:r w:rsidR="00242766" w:rsidRPr="00D22873">
        <w:rPr>
          <w:rFonts w:ascii="Arial" w:hAnsi="Arial" w:cs="Arial"/>
          <w:b/>
          <w:bCs/>
        </w:rPr>
        <w:lastRenderedPageBreak/>
        <w:t>Annex A – Main Tables</w:t>
      </w:r>
    </w:p>
    <w:p w:rsidR="00242766" w:rsidRPr="00B42A34" w:rsidRDefault="00242766" w:rsidP="00FC7315">
      <w:pPr>
        <w:spacing w:after="120" w:line="270" w:lineRule="atLeast"/>
        <w:rPr>
          <w:rFonts w:ascii="Arial" w:hAnsi="Arial" w:cs="Arial"/>
          <w:b/>
          <w:bCs/>
          <w:highlight w:val="yellow"/>
        </w:rPr>
      </w:pPr>
    </w:p>
    <w:p w:rsidR="001607C9" w:rsidRPr="00D22873" w:rsidRDefault="00242766" w:rsidP="00FC7315">
      <w:pPr>
        <w:spacing w:after="120" w:line="270" w:lineRule="atLeast"/>
        <w:jc w:val="both"/>
        <w:rPr>
          <w:rFonts w:ascii="Arial" w:eastAsia="Times New Roman" w:hAnsi="Arial" w:cs="Arial"/>
          <w:bCs/>
          <w:color w:val="000000"/>
          <w:lang w:eastAsia="en-GB"/>
        </w:rPr>
      </w:pPr>
      <w:r w:rsidRPr="00D22873">
        <w:rPr>
          <w:rFonts w:ascii="Arial" w:hAnsi="Arial" w:cs="Arial"/>
          <w:b/>
          <w:bCs/>
        </w:rPr>
        <w:t xml:space="preserve">Table 1 </w:t>
      </w:r>
      <w:r w:rsidR="001A77DA" w:rsidRPr="00D22873">
        <w:rPr>
          <w:rFonts w:ascii="Arial" w:hAnsi="Arial" w:cs="Arial"/>
          <w:b/>
          <w:bCs/>
        </w:rPr>
        <w:t xml:space="preserve">– </w:t>
      </w:r>
      <w:r w:rsidR="00A27E5E" w:rsidRPr="00D22873">
        <w:rPr>
          <w:rFonts w:ascii="Arial" w:hAnsi="Arial" w:cs="Arial"/>
          <w:bCs/>
        </w:rPr>
        <w:t>Supply Chain Development</w:t>
      </w:r>
      <w:r w:rsidR="008F0F5E" w:rsidRPr="00D22873">
        <w:rPr>
          <w:rFonts w:ascii="Arial" w:eastAsia="Times New Roman" w:hAnsi="Arial" w:cs="Arial"/>
          <w:color w:val="000000"/>
          <w:vertAlign w:val="superscript"/>
          <w:lang w:eastAsia="en-GB"/>
        </w:rPr>
        <w:t>1</w:t>
      </w:r>
      <w:r w:rsidR="007E6EC5" w:rsidRPr="00D22873">
        <w:rPr>
          <w:rFonts w:ascii="Arial" w:hAnsi="Arial" w:cs="Arial"/>
          <w:b/>
          <w:bCs/>
        </w:rPr>
        <w:t>:</w:t>
      </w:r>
      <w:r w:rsidR="00A27E5E" w:rsidRPr="00D22873">
        <w:rPr>
          <w:rFonts w:ascii="Arial" w:hAnsi="Arial" w:cs="Arial"/>
          <w:b/>
          <w:bCs/>
        </w:rPr>
        <w:t xml:space="preserve"> </w:t>
      </w:r>
      <w:r w:rsidR="005C0B38" w:rsidRPr="00D22873">
        <w:rPr>
          <w:rFonts w:ascii="Arial" w:eastAsia="Times New Roman" w:hAnsi="Arial" w:cs="Arial"/>
          <w:bCs/>
          <w:color w:val="000000"/>
          <w:lang w:eastAsia="en-GB"/>
        </w:rPr>
        <w:t>Number of accredited Assessor organisations, individual Advisors, Green Deal Providers, and Installer organisations</w:t>
      </w:r>
      <w:r w:rsidR="001A77DA" w:rsidRPr="00D22873">
        <w:rPr>
          <w:rFonts w:ascii="Arial" w:eastAsia="Times New Roman" w:hAnsi="Arial" w:cs="Arial"/>
          <w:bCs/>
          <w:color w:val="000000"/>
          <w:lang w:eastAsia="en-GB"/>
        </w:rPr>
        <w:t>, cumulative total</w:t>
      </w:r>
      <w:r w:rsidR="0013533B">
        <w:rPr>
          <w:rFonts w:ascii="Arial" w:eastAsia="Times New Roman" w:hAnsi="Arial" w:cs="Arial"/>
          <w:bCs/>
          <w:color w:val="000000"/>
          <w:lang w:eastAsia="en-GB"/>
        </w:rPr>
        <w:t>s</w:t>
      </w:r>
      <w:r w:rsidR="001A77DA" w:rsidRPr="00D22873">
        <w:rPr>
          <w:rFonts w:ascii="Arial" w:eastAsia="Times New Roman" w:hAnsi="Arial" w:cs="Arial"/>
          <w:bCs/>
          <w:color w:val="000000"/>
          <w:lang w:eastAsia="en-GB"/>
        </w:rPr>
        <w:t xml:space="preserve"> by month</w:t>
      </w:r>
    </w:p>
    <w:tbl>
      <w:tblPr>
        <w:tblW w:w="9370" w:type="dxa"/>
        <w:tblInd w:w="94" w:type="dxa"/>
        <w:tblLayout w:type="fixed"/>
        <w:tblLook w:val="04A0"/>
      </w:tblPr>
      <w:tblGrid>
        <w:gridCol w:w="1452"/>
        <w:gridCol w:w="547"/>
        <w:gridCol w:w="283"/>
        <w:gridCol w:w="1560"/>
        <w:gridCol w:w="1275"/>
        <w:gridCol w:w="1418"/>
        <w:gridCol w:w="1559"/>
        <w:gridCol w:w="992"/>
        <w:gridCol w:w="284"/>
      </w:tblGrid>
      <w:tr w:rsidR="005C0B38" w:rsidRPr="00D22873" w:rsidTr="00EA3ABC">
        <w:trPr>
          <w:gridAfter w:val="2"/>
          <w:wAfter w:w="1276" w:type="dxa"/>
          <w:trHeight w:val="255"/>
        </w:trPr>
        <w:tc>
          <w:tcPr>
            <w:tcW w:w="1999" w:type="dxa"/>
            <w:gridSpan w:val="2"/>
            <w:tcBorders>
              <w:top w:val="nil"/>
              <w:left w:val="nil"/>
              <w:bottom w:val="nil"/>
              <w:right w:val="nil"/>
            </w:tcBorders>
            <w:shd w:val="clear" w:color="auto" w:fill="auto"/>
            <w:noWrap/>
            <w:vAlign w:val="bottom"/>
            <w:hideMark/>
          </w:tcPr>
          <w:p w:rsidR="005C0B38" w:rsidRPr="00D22873" w:rsidRDefault="005C0B38" w:rsidP="00FC7315">
            <w:pPr>
              <w:spacing w:after="0" w:line="270" w:lineRule="atLeast"/>
              <w:rPr>
                <w:rFonts w:ascii="Arial" w:eastAsia="Times New Roman" w:hAnsi="Arial" w:cs="Arial"/>
                <w:color w:val="000000"/>
                <w:lang w:eastAsia="en-GB"/>
              </w:rPr>
            </w:pPr>
          </w:p>
        </w:tc>
        <w:tc>
          <w:tcPr>
            <w:tcW w:w="283" w:type="dxa"/>
            <w:tcBorders>
              <w:top w:val="nil"/>
              <w:left w:val="nil"/>
              <w:bottom w:val="nil"/>
              <w:right w:val="nil"/>
            </w:tcBorders>
            <w:shd w:val="clear" w:color="auto" w:fill="auto"/>
            <w:noWrap/>
            <w:vAlign w:val="bottom"/>
            <w:hideMark/>
          </w:tcPr>
          <w:p w:rsidR="005C0B38" w:rsidRPr="00D22873" w:rsidRDefault="005C0B38" w:rsidP="00FC7315">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5C0B38" w:rsidRPr="00D22873" w:rsidRDefault="005C0B38" w:rsidP="00FC7315">
            <w:pPr>
              <w:spacing w:after="0" w:line="270" w:lineRule="atLeast"/>
              <w:jc w:val="right"/>
              <w:rPr>
                <w:rFonts w:ascii="Arial" w:eastAsia="Times New Roman" w:hAnsi="Arial" w:cs="Arial"/>
                <w:color w:val="000000"/>
                <w:lang w:eastAsia="en-GB"/>
              </w:rPr>
            </w:pPr>
          </w:p>
        </w:tc>
        <w:tc>
          <w:tcPr>
            <w:tcW w:w="1275" w:type="dxa"/>
            <w:tcBorders>
              <w:top w:val="nil"/>
              <w:left w:val="nil"/>
              <w:bottom w:val="nil"/>
              <w:right w:val="nil"/>
            </w:tcBorders>
            <w:shd w:val="clear" w:color="auto" w:fill="auto"/>
            <w:noWrap/>
            <w:vAlign w:val="bottom"/>
            <w:hideMark/>
          </w:tcPr>
          <w:p w:rsidR="005C0B38" w:rsidRPr="00D22873" w:rsidRDefault="005C0B38" w:rsidP="00FC7315">
            <w:pPr>
              <w:spacing w:after="0" w:line="270" w:lineRule="atLeast"/>
              <w:rPr>
                <w:rFonts w:ascii="Arial" w:eastAsia="Times New Roman" w:hAnsi="Arial" w:cs="Arial"/>
                <w:color w:val="000000"/>
                <w:lang w:eastAsia="en-GB"/>
              </w:rPr>
            </w:pPr>
          </w:p>
        </w:tc>
        <w:tc>
          <w:tcPr>
            <w:tcW w:w="1418" w:type="dxa"/>
            <w:tcBorders>
              <w:top w:val="nil"/>
              <w:left w:val="nil"/>
              <w:bottom w:val="single" w:sz="4" w:space="0" w:color="auto"/>
              <w:right w:val="nil"/>
            </w:tcBorders>
            <w:shd w:val="clear" w:color="auto" w:fill="auto"/>
            <w:noWrap/>
            <w:vAlign w:val="bottom"/>
            <w:hideMark/>
          </w:tcPr>
          <w:p w:rsidR="005C0B38" w:rsidRPr="00D22873" w:rsidRDefault="005C0B38" w:rsidP="00FC7315">
            <w:pPr>
              <w:spacing w:after="0" w:line="270" w:lineRule="atLeast"/>
              <w:jc w:val="right"/>
              <w:rPr>
                <w:rFonts w:ascii="Arial" w:eastAsia="Times New Roman" w:hAnsi="Arial" w:cs="Arial"/>
                <w:color w:val="000000"/>
                <w:lang w:eastAsia="en-GB"/>
              </w:rPr>
            </w:pPr>
            <w:r w:rsidRPr="00D22873">
              <w:rPr>
                <w:rFonts w:ascii="Arial" w:eastAsia="Times New Roman" w:hAnsi="Arial" w:cs="Arial"/>
                <w:color w:val="000000"/>
                <w:lang w:eastAsia="en-GB"/>
              </w:rPr>
              <w:t> </w:t>
            </w:r>
          </w:p>
        </w:tc>
        <w:tc>
          <w:tcPr>
            <w:tcW w:w="1559" w:type="dxa"/>
            <w:tcBorders>
              <w:top w:val="nil"/>
              <w:left w:val="nil"/>
              <w:bottom w:val="nil"/>
              <w:right w:val="nil"/>
            </w:tcBorders>
            <w:shd w:val="clear" w:color="auto" w:fill="auto"/>
            <w:noWrap/>
            <w:vAlign w:val="bottom"/>
            <w:hideMark/>
          </w:tcPr>
          <w:p w:rsidR="005C0B38" w:rsidRPr="00D22873" w:rsidRDefault="005C0B38" w:rsidP="00FC7315">
            <w:pPr>
              <w:spacing w:after="0" w:line="270" w:lineRule="atLeast"/>
              <w:rPr>
                <w:rFonts w:ascii="Arial" w:eastAsia="Times New Roman" w:hAnsi="Arial" w:cs="Arial"/>
                <w:color w:val="000000"/>
                <w:lang w:eastAsia="en-GB"/>
              </w:rPr>
            </w:pPr>
          </w:p>
        </w:tc>
      </w:tr>
      <w:tr w:rsidR="005C0B38" w:rsidRPr="00D22873" w:rsidTr="00EA3ABC">
        <w:trPr>
          <w:gridAfter w:val="2"/>
          <w:wAfter w:w="1276" w:type="dxa"/>
          <w:trHeight w:val="510"/>
        </w:trPr>
        <w:tc>
          <w:tcPr>
            <w:tcW w:w="1999" w:type="dxa"/>
            <w:gridSpan w:val="2"/>
            <w:tcBorders>
              <w:top w:val="single" w:sz="4" w:space="0" w:color="auto"/>
              <w:left w:val="nil"/>
              <w:bottom w:val="single" w:sz="4" w:space="0" w:color="auto"/>
              <w:right w:val="nil"/>
            </w:tcBorders>
            <w:shd w:val="clear" w:color="auto" w:fill="auto"/>
            <w:noWrap/>
            <w:vAlign w:val="center"/>
            <w:hideMark/>
          </w:tcPr>
          <w:p w:rsidR="005C0B38" w:rsidRPr="00D22873" w:rsidRDefault="005C0B38" w:rsidP="00FC7315">
            <w:pPr>
              <w:spacing w:after="0" w:line="270" w:lineRule="atLeast"/>
              <w:rPr>
                <w:rFonts w:ascii="Arial" w:eastAsia="Times New Roman" w:hAnsi="Arial" w:cs="Arial"/>
                <w:color w:val="000000"/>
                <w:lang w:eastAsia="en-GB"/>
              </w:rPr>
            </w:pPr>
            <w:r w:rsidRPr="00D22873">
              <w:rPr>
                <w:rFonts w:ascii="Arial" w:eastAsia="Times New Roman" w:hAnsi="Arial" w:cs="Arial"/>
                <w:color w:val="000000"/>
                <w:lang w:eastAsia="en-GB"/>
              </w:rPr>
              <w:t>Month</w:t>
            </w:r>
            <w:r w:rsidR="008F0F5E" w:rsidRPr="00D22873">
              <w:rPr>
                <w:rFonts w:ascii="Arial" w:eastAsia="Times New Roman" w:hAnsi="Arial" w:cs="Arial"/>
                <w:color w:val="000000"/>
                <w:vertAlign w:val="superscript"/>
                <w:lang w:eastAsia="en-GB"/>
              </w:rPr>
              <w:t>2</w:t>
            </w:r>
          </w:p>
        </w:tc>
        <w:tc>
          <w:tcPr>
            <w:tcW w:w="283" w:type="dxa"/>
            <w:tcBorders>
              <w:top w:val="single" w:sz="4" w:space="0" w:color="auto"/>
              <w:left w:val="nil"/>
              <w:bottom w:val="single" w:sz="4" w:space="0" w:color="auto"/>
              <w:right w:val="nil"/>
            </w:tcBorders>
            <w:shd w:val="clear" w:color="auto" w:fill="auto"/>
            <w:noWrap/>
            <w:vAlign w:val="bottom"/>
            <w:hideMark/>
          </w:tcPr>
          <w:p w:rsidR="005C0B38" w:rsidRPr="00D22873" w:rsidRDefault="005C0B38" w:rsidP="00FC7315">
            <w:pPr>
              <w:spacing w:after="0" w:line="270" w:lineRule="atLeast"/>
              <w:rPr>
                <w:rFonts w:ascii="Arial" w:eastAsia="Times New Roman" w:hAnsi="Arial" w:cs="Arial"/>
                <w:color w:val="000000"/>
                <w:lang w:eastAsia="en-GB"/>
              </w:rPr>
            </w:pPr>
            <w:r w:rsidRPr="00D22873">
              <w:rPr>
                <w:rFonts w:ascii="Arial" w:eastAsia="Times New Roman" w:hAnsi="Arial" w:cs="Arial"/>
                <w:color w:val="000000"/>
                <w:lang w:eastAsia="en-GB"/>
              </w:rPr>
              <w:t> </w:t>
            </w:r>
          </w:p>
        </w:tc>
        <w:tc>
          <w:tcPr>
            <w:tcW w:w="1560" w:type="dxa"/>
            <w:tcBorders>
              <w:top w:val="single" w:sz="4" w:space="0" w:color="auto"/>
              <w:left w:val="nil"/>
              <w:bottom w:val="single" w:sz="4" w:space="0" w:color="auto"/>
              <w:right w:val="nil"/>
            </w:tcBorders>
            <w:shd w:val="clear" w:color="auto" w:fill="auto"/>
            <w:vAlign w:val="bottom"/>
            <w:hideMark/>
          </w:tcPr>
          <w:p w:rsidR="005C0B38" w:rsidRPr="00D22873" w:rsidRDefault="005C0B38" w:rsidP="00FC7315">
            <w:pPr>
              <w:spacing w:after="0" w:line="270" w:lineRule="atLeast"/>
              <w:jc w:val="center"/>
              <w:rPr>
                <w:rFonts w:ascii="Arial" w:eastAsia="Times New Roman" w:hAnsi="Arial" w:cs="Arial"/>
                <w:color w:val="000000"/>
                <w:lang w:eastAsia="en-GB"/>
              </w:rPr>
            </w:pPr>
            <w:r w:rsidRPr="00D22873">
              <w:rPr>
                <w:rFonts w:ascii="Arial" w:eastAsia="Times New Roman" w:hAnsi="Arial" w:cs="Arial"/>
                <w:color w:val="000000"/>
                <w:lang w:eastAsia="en-GB"/>
              </w:rPr>
              <w:t>Assessor organisations</w:t>
            </w:r>
          </w:p>
        </w:tc>
        <w:tc>
          <w:tcPr>
            <w:tcW w:w="1275" w:type="dxa"/>
            <w:tcBorders>
              <w:top w:val="single" w:sz="4" w:space="0" w:color="auto"/>
              <w:left w:val="nil"/>
              <w:bottom w:val="single" w:sz="4" w:space="0" w:color="auto"/>
              <w:right w:val="nil"/>
            </w:tcBorders>
            <w:shd w:val="clear" w:color="auto" w:fill="auto"/>
            <w:vAlign w:val="bottom"/>
            <w:hideMark/>
          </w:tcPr>
          <w:p w:rsidR="005C0B38" w:rsidRPr="00D22873" w:rsidRDefault="005C0B38" w:rsidP="0064632E">
            <w:pPr>
              <w:spacing w:after="0" w:line="270" w:lineRule="atLeast"/>
              <w:jc w:val="center"/>
              <w:rPr>
                <w:rFonts w:ascii="Arial" w:eastAsia="Times New Roman" w:hAnsi="Arial" w:cs="Arial"/>
                <w:color w:val="000000"/>
                <w:lang w:eastAsia="en-GB"/>
              </w:rPr>
            </w:pPr>
            <w:r w:rsidRPr="00D22873">
              <w:rPr>
                <w:rFonts w:ascii="Arial" w:eastAsia="Times New Roman" w:hAnsi="Arial" w:cs="Arial"/>
                <w:color w:val="000000"/>
                <w:lang w:eastAsia="en-GB"/>
              </w:rPr>
              <w:t>Individual Advisors</w:t>
            </w:r>
          </w:p>
        </w:tc>
        <w:tc>
          <w:tcPr>
            <w:tcW w:w="1418" w:type="dxa"/>
            <w:tcBorders>
              <w:top w:val="nil"/>
              <w:left w:val="nil"/>
              <w:bottom w:val="single" w:sz="4" w:space="0" w:color="auto"/>
              <w:right w:val="nil"/>
            </w:tcBorders>
            <w:shd w:val="clear" w:color="auto" w:fill="auto"/>
            <w:vAlign w:val="bottom"/>
            <w:hideMark/>
          </w:tcPr>
          <w:p w:rsidR="005C0B38" w:rsidRPr="00D22873" w:rsidRDefault="005C0B38" w:rsidP="00FC7315">
            <w:pPr>
              <w:spacing w:after="0" w:line="270" w:lineRule="atLeast"/>
              <w:jc w:val="center"/>
              <w:rPr>
                <w:rFonts w:ascii="Arial" w:eastAsia="Times New Roman" w:hAnsi="Arial" w:cs="Arial"/>
                <w:color w:val="000000"/>
                <w:lang w:eastAsia="en-GB"/>
              </w:rPr>
            </w:pPr>
            <w:r w:rsidRPr="00D22873">
              <w:rPr>
                <w:rFonts w:ascii="Arial" w:eastAsia="Times New Roman" w:hAnsi="Arial" w:cs="Arial"/>
                <w:color w:val="000000"/>
                <w:lang w:eastAsia="en-GB"/>
              </w:rPr>
              <w:t>Green Deal Providers</w:t>
            </w:r>
          </w:p>
        </w:tc>
        <w:tc>
          <w:tcPr>
            <w:tcW w:w="1559" w:type="dxa"/>
            <w:tcBorders>
              <w:top w:val="single" w:sz="4" w:space="0" w:color="auto"/>
              <w:left w:val="nil"/>
              <w:bottom w:val="single" w:sz="4" w:space="0" w:color="auto"/>
              <w:right w:val="nil"/>
            </w:tcBorders>
            <w:shd w:val="clear" w:color="auto" w:fill="auto"/>
            <w:vAlign w:val="bottom"/>
            <w:hideMark/>
          </w:tcPr>
          <w:p w:rsidR="005C0B38" w:rsidRPr="00D22873" w:rsidRDefault="005C0B38" w:rsidP="00FC7315">
            <w:pPr>
              <w:spacing w:after="0" w:line="270" w:lineRule="atLeast"/>
              <w:jc w:val="center"/>
              <w:rPr>
                <w:rFonts w:ascii="Arial" w:eastAsia="Times New Roman" w:hAnsi="Arial" w:cs="Arial"/>
                <w:color w:val="000000"/>
                <w:lang w:eastAsia="en-GB"/>
              </w:rPr>
            </w:pPr>
            <w:r w:rsidRPr="00D22873">
              <w:rPr>
                <w:rFonts w:ascii="Arial" w:eastAsia="Times New Roman" w:hAnsi="Arial" w:cs="Arial"/>
                <w:color w:val="000000"/>
                <w:lang w:eastAsia="en-GB"/>
              </w:rPr>
              <w:t>Installer organisations</w:t>
            </w:r>
          </w:p>
        </w:tc>
      </w:tr>
      <w:tr w:rsidR="00F12ABC" w:rsidRPr="00D22873" w:rsidTr="00EA3ABC">
        <w:trPr>
          <w:gridAfter w:val="2"/>
          <w:wAfter w:w="1276" w:type="dxa"/>
          <w:trHeight w:val="255"/>
        </w:trPr>
        <w:tc>
          <w:tcPr>
            <w:tcW w:w="1999" w:type="dxa"/>
            <w:gridSpan w:val="2"/>
            <w:tcBorders>
              <w:top w:val="nil"/>
              <w:left w:val="nil"/>
              <w:bottom w:val="nil"/>
              <w:right w:val="nil"/>
            </w:tcBorders>
            <w:shd w:val="clear" w:color="auto" w:fill="auto"/>
            <w:noWrap/>
            <w:vAlign w:val="bottom"/>
            <w:hideMark/>
          </w:tcPr>
          <w:p w:rsidR="00F12ABC" w:rsidRPr="00D22873" w:rsidRDefault="00F12ABC" w:rsidP="00F12ABC">
            <w:pPr>
              <w:spacing w:after="0" w:line="270" w:lineRule="atLeast"/>
              <w:rPr>
                <w:rFonts w:ascii="Arial" w:eastAsia="Times New Roman" w:hAnsi="Arial" w:cs="Arial"/>
                <w:color w:val="000000"/>
                <w:lang w:eastAsia="en-GB"/>
              </w:rPr>
            </w:pPr>
            <w:r w:rsidRPr="00D22873">
              <w:rPr>
                <w:rFonts w:ascii="Arial" w:eastAsia="Times New Roman" w:hAnsi="Arial" w:cs="Arial"/>
                <w:color w:val="000000"/>
                <w:lang w:eastAsia="en-GB"/>
              </w:rPr>
              <w:t>October 2012</w:t>
            </w:r>
          </w:p>
        </w:tc>
        <w:tc>
          <w:tcPr>
            <w:tcW w:w="283" w:type="dxa"/>
            <w:tcBorders>
              <w:top w:val="nil"/>
              <w:left w:val="nil"/>
              <w:bottom w:val="nil"/>
              <w:right w:val="nil"/>
            </w:tcBorders>
            <w:shd w:val="clear" w:color="auto" w:fill="auto"/>
            <w:noWrap/>
            <w:vAlign w:val="bottom"/>
            <w:hideMark/>
          </w:tcPr>
          <w:p w:rsidR="00F12ABC" w:rsidRPr="00D22873" w:rsidRDefault="00F12ABC" w:rsidP="00F12ABC">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13</w:t>
            </w:r>
          </w:p>
        </w:tc>
        <w:tc>
          <w:tcPr>
            <w:tcW w:w="1275"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40</w:t>
            </w:r>
          </w:p>
        </w:tc>
        <w:tc>
          <w:tcPr>
            <w:tcW w:w="1418"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8</w:t>
            </w:r>
          </w:p>
        </w:tc>
        <w:tc>
          <w:tcPr>
            <w:tcW w:w="1559"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231</w:t>
            </w:r>
          </w:p>
        </w:tc>
      </w:tr>
      <w:tr w:rsidR="00F12ABC" w:rsidRPr="00D22873" w:rsidTr="00EA3ABC">
        <w:trPr>
          <w:gridAfter w:val="2"/>
          <w:wAfter w:w="1276" w:type="dxa"/>
          <w:trHeight w:val="255"/>
        </w:trPr>
        <w:tc>
          <w:tcPr>
            <w:tcW w:w="1999" w:type="dxa"/>
            <w:gridSpan w:val="2"/>
            <w:tcBorders>
              <w:top w:val="nil"/>
              <w:left w:val="nil"/>
              <w:bottom w:val="nil"/>
              <w:right w:val="nil"/>
            </w:tcBorders>
            <w:shd w:val="clear" w:color="auto" w:fill="auto"/>
            <w:noWrap/>
            <w:vAlign w:val="bottom"/>
            <w:hideMark/>
          </w:tcPr>
          <w:p w:rsidR="00F12ABC" w:rsidRPr="00D22873" w:rsidRDefault="00F12ABC" w:rsidP="00F12ABC">
            <w:pPr>
              <w:spacing w:after="0" w:line="270" w:lineRule="atLeast"/>
              <w:rPr>
                <w:rFonts w:ascii="Arial" w:eastAsia="Times New Roman" w:hAnsi="Arial" w:cs="Arial"/>
                <w:color w:val="000000"/>
                <w:lang w:eastAsia="en-GB"/>
              </w:rPr>
            </w:pPr>
            <w:r w:rsidRPr="00D22873">
              <w:rPr>
                <w:rFonts w:ascii="Arial" w:eastAsia="Times New Roman" w:hAnsi="Arial" w:cs="Arial"/>
                <w:color w:val="000000"/>
                <w:lang w:eastAsia="en-GB"/>
              </w:rPr>
              <w:t>November 2012</w:t>
            </w:r>
          </w:p>
        </w:tc>
        <w:tc>
          <w:tcPr>
            <w:tcW w:w="283" w:type="dxa"/>
            <w:tcBorders>
              <w:top w:val="nil"/>
              <w:left w:val="nil"/>
              <w:bottom w:val="nil"/>
              <w:right w:val="nil"/>
            </w:tcBorders>
            <w:shd w:val="clear" w:color="auto" w:fill="auto"/>
            <w:noWrap/>
            <w:vAlign w:val="bottom"/>
            <w:hideMark/>
          </w:tcPr>
          <w:p w:rsidR="00F12ABC" w:rsidRPr="00D22873" w:rsidRDefault="00F12ABC" w:rsidP="00F12ABC">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18</w:t>
            </w:r>
          </w:p>
        </w:tc>
        <w:tc>
          <w:tcPr>
            <w:tcW w:w="1275"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100</w:t>
            </w:r>
          </w:p>
        </w:tc>
        <w:tc>
          <w:tcPr>
            <w:tcW w:w="1418"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15</w:t>
            </w:r>
          </w:p>
        </w:tc>
        <w:tc>
          <w:tcPr>
            <w:tcW w:w="1559"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285</w:t>
            </w:r>
          </w:p>
        </w:tc>
      </w:tr>
      <w:tr w:rsidR="00F12ABC" w:rsidRPr="00D22873" w:rsidTr="00EA3ABC">
        <w:trPr>
          <w:gridAfter w:val="2"/>
          <w:wAfter w:w="1276" w:type="dxa"/>
          <w:trHeight w:val="255"/>
        </w:trPr>
        <w:tc>
          <w:tcPr>
            <w:tcW w:w="2282" w:type="dxa"/>
            <w:gridSpan w:val="3"/>
            <w:tcBorders>
              <w:top w:val="nil"/>
              <w:left w:val="nil"/>
              <w:bottom w:val="nil"/>
              <w:right w:val="nil"/>
            </w:tcBorders>
            <w:shd w:val="clear" w:color="auto" w:fill="auto"/>
            <w:noWrap/>
            <w:vAlign w:val="bottom"/>
            <w:hideMark/>
          </w:tcPr>
          <w:p w:rsidR="00F12ABC" w:rsidRPr="00D22873" w:rsidRDefault="00F12ABC" w:rsidP="00F12ABC">
            <w:pPr>
              <w:spacing w:after="0" w:line="270" w:lineRule="atLeast"/>
              <w:rPr>
                <w:rFonts w:ascii="Arial" w:eastAsia="Times New Roman" w:hAnsi="Arial" w:cs="Arial"/>
                <w:color w:val="000000"/>
                <w:lang w:eastAsia="en-GB"/>
              </w:rPr>
            </w:pPr>
            <w:r w:rsidRPr="00D22873">
              <w:rPr>
                <w:rFonts w:ascii="Arial" w:eastAsia="Times New Roman" w:hAnsi="Arial" w:cs="Arial"/>
                <w:color w:val="000000"/>
                <w:lang w:eastAsia="en-GB"/>
              </w:rPr>
              <w:t>December 2012</w:t>
            </w:r>
          </w:p>
        </w:tc>
        <w:tc>
          <w:tcPr>
            <w:tcW w:w="1560" w:type="dxa"/>
            <w:tcBorders>
              <w:top w:val="nil"/>
              <w:left w:val="nil"/>
              <w:bottom w:val="nil"/>
              <w:right w:val="nil"/>
            </w:tcBorders>
            <w:shd w:val="clear" w:color="auto" w:fill="auto"/>
            <w:noWrap/>
            <w:vAlign w:val="bottom"/>
            <w:hideMark/>
          </w:tcPr>
          <w:p w:rsidR="00F12ABC" w:rsidRPr="00D22873" w:rsidRDefault="00F12ABC" w:rsidP="00491E9F">
            <w:pPr>
              <w:spacing w:after="0"/>
              <w:jc w:val="right"/>
              <w:rPr>
                <w:rFonts w:ascii="Arial" w:hAnsi="Arial" w:cs="Arial"/>
                <w:color w:val="000000"/>
              </w:rPr>
            </w:pPr>
            <w:r w:rsidRPr="00D22873">
              <w:rPr>
                <w:rFonts w:ascii="Arial" w:hAnsi="Arial" w:cs="Arial"/>
                <w:color w:val="000000"/>
              </w:rPr>
              <w:t>29</w:t>
            </w:r>
          </w:p>
        </w:tc>
        <w:tc>
          <w:tcPr>
            <w:tcW w:w="1275" w:type="dxa"/>
            <w:tcBorders>
              <w:top w:val="nil"/>
              <w:left w:val="nil"/>
              <w:bottom w:val="nil"/>
              <w:right w:val="nil"/>
            </w:tcBorders>
            <w:shd w:val="clear" w:color="auto" w:fill="auto"/>
            <w:noWrap/>
            <w:vAlign w:val="bottom"/>
            <w:hideMark/>
          </w:tcPr>
          <w:p w:rsidR="00F12ABC" w:rsidRPr="00D22873" w:rsidRDefault="00F12ABC" w:rsidP="00491E9F">
            <w:pPr>
              <w:spacing w:after="0"/>
              <w:jc w:val="right"/>
              <w:rPr>
                <w:rFonts w:ascii="Arial" w:hAnsi="Arial" w:cs="Arial"/>
                <w:color w:val="000000"/>
              </w:rPr>
            </w:pPr>
            <w:r w:rsidRPr="00D22873">
              <w:rPr>
                <w:rFonts w:ascii="Arial" w:hAnsi="Arial" w:cs="Arial"/>
                <w:color w:val="000000"/>
              </w:rPr>
              <w:t>159</w:t>
            </w:r>
          </w:p>
        </w:tc>
        <w:tc>
          <w:tcPr>
            <w:tcW w:w="1418" w:type="dxa"/>
            <w:tcBorders>
              <w:top w:val="nil"/>
              <w:left w:val="nil"/>
              <w:bottom w:val="nil"/>
              <w:right w:val="nil"/>
            </w:tcBorders>
            <w:shd w:val="clear" w:color="auto" w:fill="auto"/>
            <w:noWrap/>
            <w:vAlign w:val="bottom"/>
            <w:hideMark/>
          </w:tcPr>
          <w:p w:rsidR="00F12ABC" w:rsidRPr="00D22873" w:rsidRDefault="00F12ABC" w:rsidP="00491E9F">
            <w:pPr>
              <w:spacing w:after="0"/>
              <w:jc w:val="right"/>
              <w:rPr>
                <w:rFonts w:ascii="Arial" w:hAnsi="Arial" w:cs="Arial"/>
                <w:color w:val="000000"/>
              </w:rPr>
            </w:pPr>
            <w:r w:rsidRPr="00D22873">
              <w:rPr>
                <w:rFonts w:ascii="Arial" w:hAnsi="Arial" w:cs="Arial"/>
                <w:color w:val="000000"/>
              </w:rPr>
              <w:t>20</w:t>
            </w:r>
          </w:p>
        </w:tc>
        <w:tc>
          <w:tcPr>
            <w:tcW w:w="1559"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429</w:t>
            </w:r>
          </w:p>
        </w:tc>
      </w:tr>
      <w:tr w:rsidR="00F12ABC" w:rsidRPr="00D22873" w:rsidTr="00EA3ABC">
        <w:trPr>
          <w:gridAfter w:val="2"/>
          <w:wAfter w:w="1276" w:type="dxa"/>
          <w:trHeight w:val="270"/>
        </w:trPr>
        <w:tc>
          <w:tcPr>
            <w:tcW w:w="1999" w:type="dxa"/>
            <w:gridSpan w:val="2"/>
            <w:tcBorders>
              <w:top w:val="nil"/>
              <w:left w:val="nil"/>
              <w:bottom w:val="nil"/>
              <w:right w:val="nil"/>
            </w:tcBorders>
            <w:shd w:val="clear" w:color="auto" w:fill="auto"/>
            <w:noWrap/>
            <w:vAlign w:val="bottom"/>
            <w:hideMark/>
          </w:tcPr>
          <w:p w:rsidR="00F12ABC" w:rsidRPr="00D22873" w:rsidRDefault="00F12ABC" w:rsidP="00F12ABC">
            <w:pPr>
              <w:spacing w:after="0" w:line="270" w:lineRule="atLeast"/>
              <w:rPr>
                <w:rFonts w:ascii="Arial" w:eastAsia="Times New Roman" w:hAnsi="Arial" w:cs="Arial"/>
                <w:color w:val="000000"/>
                <w:lang w:eastAsia="en-GB"/>
              </w:rPr>
            </w:pPr>
            <w:r w:rsidRPr="00D22873">
              <w:rPr>
                <w:rFonts w:ascii="Arial" w:eastAsia="Times New Roman" w:hAnsi="Arial" w:cs="Arial"/>
                <w:color w:val="000000"/>
                <w:lang w:eastAsia="en-GB"/>
              </w:rPr>
              <w:t>January 2013</w:t>
            </w:r>
          </w:p>
        </w:tc>
        <w:tc>
          <w:tcPr>
            <w:tcW w:w="283" w:type="dxa"/>
            <w:tcBorders>
              <w:top w:val="nil"/>
              <w:left w:val="nil"/>
              <w:bottom w:val="nil"/>
              <w:right w:val="nil"/>
            </w:tcBorders>
            <w:shd w:val="clear" w:color="auto" w:fill="auto"/>
            <w:noWrap/>
            <w:vAlign w:val="bottom"/>
            <w:hideMark/>
          </w:tcPr>
          <w:p w:rsidR="00F12ABC" w:rsidRPr="00D22873" w:rsidRDefault="00F12ABC" w:rsidP="00F12ABC">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48</w:t>
            </w:r>
          </w:p>
        </w:tc>
        <w:tc>
          <w:tcPr>
            <w:tcW w:w="1275"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270</w:t>
            </w:r>
          </w:p>
        </w:tc>
        <w:tc>
          <w:tcPr>
            <w:tcW w:w="1418"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25</w:t>
            </w:r>
          </w:p>
        </w:tc>
        <w:tc>
          <w:tcPr>
            <w:tcW w:w="1559"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531</w:t>
            </w:r>
          </w:p>
        </w:tc>
      </w:tr>
      <w:tr w:rsidR="00F12ABC" w:rsidRPr="00D22873" w:rsidTr="00EA3ABC">
        <w:trPr>
          <w:gridAfter w:val="2"/>
          <w:wAfter w:w="1276" w:type="dxa"/>
          <w:trHeight w:val="270"/>
        </w:trPr>
        <w:tc>
          <w:tcPr>
            <w:tcW w:w="1999" w:type="dxa"/>
            <w:gridSpan w:val="2"/>
            <w:tcBorders>
              <w:top w:val="nil"/>
              <w:left w:val="nil"/>
              <w:bottom w:val="nil"/>
              <w:right w:val="nil"/>
            </w:tcBorders>
            <w:shd w:val="clear" w:color="auto" w:fill="auto"/>
            <w:noWrap/>
            <w:vAlign w:val="bottom"/>
            <w:hideMark/>
          </w:tcPr>
          <w:p w:rsidR="00F12ABC" w:rsidRPr="00D22873" w:rsidRDefault="00F12ABC" w:rsidP="00F12ABC">
            <w:pPr>
              <w:spacing w:after="0" w:line="270" w:lineRule="atLeast"/>
              <w:rPr>
                <w:rFonts w:ascii="Arial" w:eastAsia="Times New Roman" w:hAnsi="Arial" w:cs="Arial"/>
                <w:color w:val="000000"/>
                <w:lang w:eastAsia="en-GB"/>
              </w:rPr>
            </w:pPr>
            <w:r w:rsidRPr="00D22873">
              <w:rPr>
                <w:rFonts w:ascii="Arial" w:eastAsia="Times New Roman" w:hAnsi="Arial" w:cs="Arial"/>
                <w:color w:val="000000"/>
                <w:lang w:eastAsia="en-GB"/>
              </w:rPr>
              <w:t>February 2013</w:t>
            </w:r>
          </w:p>
        </w:tc>
        <w:tc>
          <w:tcPr>
            <w:tcW w:w="283" w:type="dxa"/>
            <w:tcBorders>
              <w:top w:val="nil"/>
              <w:left w:val="nil"/>
              <w:bottom w:val="nil"/>
              <w:right w:val="nil"/>
            </w:tcBorders>
            <w:shd w:val="clear" w:color="auto" w:fill="auto"/>
            <w:noWrap/>
            <w:vAlign w:val="bottom"/>
            <w:hideMark/>
          </w:tcPr>
          <w:p w:rsidR="00F12ABC" w:rsidRPr="00D22873" w:rsidRDefault="00F12ABC" w:rsidP="00F12ABC">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77</w:t>
            </w:r>
          </w:p>
        </w:tc>
        <w:tc>
          <w:tcPr>
            <w:tcW w:w="1275" w:type="dxa"/>
            <w:tcBorders>
              <w:top w:val="nil"/>
              <w:left w:val="nil"/>
              <w:bottom w:val="nil"/>
              <w:right w:val="nil"/>
            </w:tcBorders>
            <w:shd w:val="clear" w:color="auto" w:fill="auto"/>
            <w:noWrap/>
            <w:vAlign w:val="bottom"/>
            <w:hideMark/>
          </w:tcPr>
          <w:p w:rsidR="00F12ABC" w:rsidRPr="00D22873" w:rsidRDefault="007C307B" w:rsidP="00F12ABC">
            <w:pPr>
              <w:spacing w:after="0"/>
              <w:jc w:val="right"/>
              <w:rPr>
                <w:rFonts w:ascii="Arial" w:hAnsi="Arial" w:cs="Arial"/>
                <w:color w:val="000000"/>
              </w:rPr>
            </w:pPr>
            <w:r w:rsidRPr="00D22873">
              <w:rPr>
                <w:rFonts w:ascii="Arial" w:hAnsi="Arial" w:cs="Arial"/>
                <w:color w:val="000000"/>
              </w:rPr>
              <w:t>618</w:t>
            </w:r>
          </w:p>
        </w:tc>
        <w:tc>
          <w:tcPr>
            <w:tcW w:w="1418"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40</w:t>
            </w:r>
          </w:p>
        </w:tc>
        <w:tc>
          <w:tcPr>
            <w:tcW w:w="1559" w:type="dxa"/>
            <w:tcBorders>
              <w:top w:val="nil"/>
              <w:left w:val="nil"/>
              <w:bottom w:val="nil"/>
              <w:right w:val="nil"/>
            </w:tcBorders>
            <w:shd w:val="clear" w:color="auto" w:fill="auto"/>
            <w:noWrap/>
            <w:vAlign w:val="bottom"/>
            <w:hideMark/>
          </w:tcPr>
          <w:p w:rsidR="00F12ABC" w:rsidRPr="00D22873" w:rsidRDefault="00F12ABC" w:rsidP="00F12ABC">
            <w:pPr>
              <w:spacing w:after="0"/>
              <w:jc w:val="right"/>
              <w:rPr>
                <w:rFonts w:ascii="Arial" w:hAnsi="Arial" w:cs="Arial"/>
                <w:color w:val="000000"/>
              </w:rPr>
            </w:pPr>
            <w:r w:rsidRPr="00D22873">
              <w:rPr>
                <w:rFonts w:ascii="Arial" w:hAnsi="Arial" w:cs="Arial"/>
                <w:color w:val="000000"/>
              </w:rPr>
              <w:t>629</w:t>
            </w:r>
          </w:p>
        </w:tc>
      </w:tr>
      <w:tr w:rsidR="00BC58B3" w:rsidRPr="00D22873" w:rsidTr="00EA3ABC">
        <w:trPr>
          <w:gridAfter w:val="2"/>
          <w:wAfter w:w="1276" w:type="dxa"/>
          <w:trHeight w:val="270"/>
        </w:trPr>
        <w:tc>
          <w:tcPr>
            <w:tcW w:w="1999" w:type="dxa"/>
            <w:gridSpan w:val="2"/>
            <w:tcBorders>
              <w:top w:val="nil"/>
              <w:left w:val="nil"/>
              <w:bottom w:val="nil"/>
              <w:right w:val="nil"/>
            </w:tcBorders>
            <w:shd w:val="clear" w:color="auto" w:fill="auto"/>
            <w:noWrap/>
            <w:vAlign w:val="bottom"/>
            <w:hideMark/>
          </w:tcPr>
          <w:p w:rsidR="00BC58B3" w:rsidRPr="00D22873" w:rsidRDefault="00BC58B3" w:rsidP="00F12ABC">
            <w:pPr>
              <w:spacing w:after="0" w:line="270" w:lineRule="atLeast"/>
              <w:rPr>
                <w:rFonts w:ascii="Arial" w:eastAsia="Times New Roman" w:hAnsi="Arial" w:cs="Arial"/>
                <w:color w:val="000000"/>
                <w:lang w:eastAsia="en-GB"/>
              </w:rPr>
            </w:pPr>
            <w:r w:rsidRPr="00D22873">
              <w:rPr>
                <w:rFonts w:ascii="Arial" w:eastAsia="Times New Roman" w:hAnsi="Arial" w:cs="Arial"/>
                <w:color w:val="000000"/>
                <w:lang w:eastAsia="en-GB"/>
              </w:rPr>
              <w:t>March 2013</w:t>
            </w:r>
          </w:p>
        </w:tc>
        <w:tc>
          <w:tcPr>
            <w:tcW w:w="283" w:type="dxa"/>
            <w:tcBorders>
              <w:top w:val="nil"/>
              <w:left w:val="nil"/>
              <w:bottom w:val="nil"/>
              <w:right w:val="nil"/>
            </w:tcBorders>
            <w:shd w:val="clear" w:color="auto" w:fill="auto"/>
            <w:noWrap/>
            <w:vAlign w:val="bottom"/>
            <w:hideMark/>
          </w:tcPr>
          <w:p w:rsidR="00BC58B3" w:rsidRPr="00D22873" w:rsidRDefault="00BC58B3" w:rsidP="00F12ABC">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BC58B3" w:rsidRPr="00D22873" w:rsidRDefault="00BC58B3" w:rsidP="00F12ABC">
            <w:pPr>
              <w:spacing w:after="0"/>
              <w:jc w:val="right"/>
              <w:rPr>
                <w:rFonts w:ascii="Arial" w:hAnsi="Arial" w:cs="Arial"/>
                <w:color w:val="000000"/>
              </w:rPr>
            </w:pPr>
            <w:r w:rsidRPr="00D22873">
              <w:rPr>
                <w:rFonts w:ascii="Arial" w:hAnsi="Arial" w:cs="Arial"/>
                <w:color w:val="000000"/>
              </w:rPr>
              <w:t>108</w:t>
            </w:r>
          </w:p>
        </w:tc>
        <w:tc>
          <w:tcPr>
            <w:tcW w:w="1275" w:type="dxa"/>
            <w:tcBorders>
              <w:top w:val="nil"/>
              <w:left w:val="nil"/>
              <w:bottom w:val="nil"/>
              <w:right w:val="nil"/>
            </w:tcBorders>
            <w:shd w:val="clear" w:color="auto" w:fill="auto"/>
            <w:noWrap/>
            <w:vAlign w:val="bottom"/>
            <w:hideMark/>
          </w:tcPr>
          <w:p w:rsidR="00BC58B3" w:rsidRPr="00D22873" w:rsidRDefault="00BC58B3" w:rsidP="00F12ABC">
            <w:pPr>
              <w:spacing w:after="0"/>
              <w:jc w:val="right"/>
              <w:rPr>
                <w:rFonts w:ascii="Arial" w:hAnsi="Arial" w:cs="Arial"/>
                <w:color w:val="000000"/>
              </w:rPr>
            </w:pPr>
            <w:r w:rsidRPr="00D22873">
              <w:rPr>
                <w:rFonts w:ascii="Arial" w:hAnsi="Arial" w:cs="Arial"/>
                <w:color w:val="000000"/>
              </w:rPr>
              <w:t>1,003</w:t>
            </w:r>
          </w:p>
        </w:tc>
        <w:tc>
          <w:tcPr>
            <w:tcW w:w="1418" w:type="dxa"/>
            <w:tcBorders>
              <w:top w:val="nil"/>
              <w:left w:val="nil"/>
              <w:bottom w:val="nil"/>
              <w:right w:val="nil"/>
            </w:tcBorders>
            <w:shd w:val="clear" w:color="auto" w:fill="auto"/>
            <w:noWrap/>
            <w:vAlign w:val="bottom"/>
            <w:hideMark/>
          </w:tcPr>
          <w:p w:rsidR="00BC58B3" w:rsidRPr="00D22873" w:rsidRDefault="00BC58B3" w:rsidP="00F12ABC">
            <w:pPr>
              <w:spacing w:after="0"/>
              <w:jc w:val="right"/>
              <w:rPr>
                <w:rFonts w:ascii="Arial" w:hAnsi="Arial" w:cs="Arial"/>
                <w:color w:val="000000"/>
              </w:rPr>
            </w:pPr>
            <w:r w:rsidRPr="00D22873">
              <w:rPr>
                <w:rFonts w:ascii="Arial" w:hAnsi="Arial" w:cs="Arial"/>
                <w:color w:val="000000"/>
              </w:rPr>
              <w:t>48</w:t>
            </w:r>
          </w:p>
        </w:tc>
        <w:tc>
          <w:tcPr>
            <w:tcW w:w="1559" w:type="dxa"/>
            <w:tcBorders>
              <w:top w:val="nil"/>
              <w:left w:val="nil"/>
              <w:bottom w:val="nil"/>
              <w:right w:val="nil"/>
            </w:tcBorders>
            <w:shd w:val="clear" w:color="auto" w:fill="auto"/>
            <w:noWrap/>
            <w:vAlign w:val="bottom"/>
            <w:hideMark/>
          </w:tcPr>
          <w:p w:rsidR="00BC58B3" w:rsidRPr="00D22873" w:rsidRDefault="00BC58B3" w:rsidP="00F12ABC">
            <w:pPr>
              <w:spacing w:after="0"/>
              <w:jc w:val="right"/>
              <w:rPr>
                <w:rFonts w:ascii="Arial" w:hAnsi="Arial" w:cs="Arial"/>
                <w:color w:val="000000"/>
              </w:rPr>
            </w:pPr>
            <w:r w:rsidRPr="00D22873">
              <w:rPr>
                <w:rFonts w:ascii="Arial" w:hAnsi="Arial" w:cs="Arial"/>
                <w:color w:val="000000"/>
              </w:rPr>
              <w:t>831</w:t>
            </w:r>
          </w:p>
        </w:tc>
      </w:tr>
      <w:tr w:rsidR="00F12ABC" w:rsidRPr="00D22873" w:rsidTr="00EA3ABC">
        <w:trPr>
          <w:gridAfter w:val="2"/>
          <w:wAfter w:w="1276" w:type="dxa"/>
          <w:trHeight w:val="270"/>
        </w:trPr>
        <w:tc>
          <w:tcPr>
            <w:tcW w:w="1999" w:type="dxa"/>
            <w:gridSpan w:val="2"/>
            <w:tcBorders>
              <w:top w:val="nil"/>
              <w:left w:val="nil"/>
              <w:bottom w:val="single" w:sz="4" w:space="0" w:color="auto"/>
              <w:right w:val="nil"/>
            </w:tcBorders>
            <w:shd w:val="clear" w:color="auto" w:fill="auto"/>
            <w:noWrap/>
            <w:vAlign w:val="bottom"/>
            <w:hideMark/>
          </w:tcPr>
          <w:p w:rsidR="00F12ABC" w:rsidRPr="00D22873" w:rsidRDefault="00BC58B3" w:rsidP="00F12ABC">
            <w:pPr>
              <w:spacing w:after="0" w:line="270" w:lineRule="atLeast"/>
              <w:rPr>
                <w:rFonts w:ascii="Arial" w:eastAsia="Times New Roman" w:hAnsi="Arial" w:cs="Arial"/>
                <w:color w:val="000000"/>
                <w:lang w:eastAsia="en-GB"/>
              </w:rPr>
            </w:pPr>
            <w:r w:rsidRPr="00D22873">
              <w:rPr>
                <w:rFonts w:ascii="Arial" w:eastAsia="Times New Roman" w:hAnsi="Arial" w:cs="Arial"/>
                <w:color w:val="000000"/>
                <w:lang w:eastAsia="en-GB"/>
              </w:rPr>
              <w:t>April 201</w:t>
            </w:r>
            <w:r w:rsidR="00C95C92">
              <w:rPr>
                <w:rFonts w:ascii="Arial" w:eastAsia="Times New Roman" w:hAnsi="Arial" w:cs="Arial"/>
                <w:color w:val="000000"/>
                <w:lang w:eastAsia="en-GB"/>
              </w:rPr>
              <w:t>3</w:t>
            </w:r>
          </w:p>
        </w:tc>
        <w:tc>
          <w:tcPr>
            <w:tcW w:w="283" w:type="dxa"/>
            <w:tcBorders>
              <w:top w:val="nil"/>
              <w:left w:val="nil"/>
              <w:bottom w:val="single" w:sz="4" w:space="0" w:color="auto"/>
              <w:right w:val="nil"/>
            </w:tcBorders>
            <w:shd w:val="clear" w:color="auto" w:fill="auto"/>
            <w:noWrap/>
            <w:vAlign w:val="bottom"/>
            <w:hideMark/>
          </w:tcPr>
          <w:p w:rsidR="00F12ABC" w:rsidRPr="00D22873" w:rsidRDefault="00F12ABC" w:rsidP="00F12ABC">
            <w:pPr>
              <w:spacing w:after="0" w:line="270" w:lineRule="atLeast"/>
              <w:rPr>
                <w:rFonts w:ascii="Arial" w:eastAsia="Times New Roman" w:hAnsi="Arial" w:cs="Arial"/>
                <w:color w:val="000000"/>
                <w:lang w:eastAsia="en-GB"/>
              </w:rPr>
            </w:pPr>
            <w:r w:rsidRPr="00D22873">
              <w:rPr>
                <w:rFonts w:ascii="Arial" w:eastAsia="Times New Roman" w:hAnsi="Arial" w:cs="Arial"/>
                <w:color w:val="000000"/>
                <w:lang w:eastAsia="en-GB"/>
              </w:rPr>
              <w:t> </w:t>
            </w:r>
          </w:p>
        </w:tc>
        <w:tc>
          <w:tcPr>
            <w:tcW w:w="1560" w:type="dxa"/>
            <w:tcBorders>
              <w:top w:val="nil"/>
              <w:left w:val="nil"/>
              <w:bottom w:val="single" w:sz="4" w:space="0" w:color="auto"/>
              <w:right w:val="nil"/>
            </w:tcBorders>
            <w:shd w:val="clear" w:color="auto" w:fill="auto"/>
            <w:noWrap/>
            <w:vAlign w:val="bottom"/>
            <w:hideMark/>
          </w:tcPr>
          <w:p w:rsidR="00F12ABC" w:rsidRPr="00D22873" w:rsidRDefault="00D22873" w:rsidP="00F12ABC">
            <w:pPr>
              <w:spacing w:after="0"/>
              <w:jc w:val="right"/>
              <w:rPr>
                <w:rFonts w:ascii="Arial" w:hAnsi="Arial" w:cs="Arial"/>
                <w:color w:val="000000"/>
              </w:rPr>
            </w:pPr>
            <w:r w:rsidRPr="00D22873">
              <w:rPr>
                <w:rFonts w:ascii="Arial" w:hAnsi="Arial" w:cs="Arial"/>
                <w:color w:val="000000"/>
              </w:rPr>
              <w:t>152</w:t>
            </w:r>
          </w:p>
        </w:tc>
        <w:tc>
          <w:tcPr>
            <w:tcW w:w="1275" w:type="dxa"/>
            <w:tcBorders>
              <w:top w:val="nil"/>
              <w:left w:val="nil"/>
              <w:bottom w:val="single" w:sz="4" w:space="0" w:color="auto"/>
              <w:right w:val="nil"/>
            </w:tcBorders>
            <w:shd w:val="clear" w:color="auto" w:fill="auto"/>
            <w:noWrap/>
            <w:vAlign w:val="bottom"/>
            <w:hideMark/>
          </w:tcPr>
          <w:p w:rsidR="00F12ABC" w:rsidRPr="00D22873" w:rsidRDefault="00726EA6" w:rsidP="00F12ABC">
            <w:pPr>
              <w:spacing w:after="0"/>
              <w:jc w:val="right"/>
              <w:rPr>
                <w:rFonts w:ascii="Arial" w:hAnsi="Arial" w:cs="Arial"/>
                <w:color w:val="000000"/>
              </w:rPr>
            </w:pPr>
            <w:r w:rsidRPr="00D22873">
              <w:rPr>
                <w:rFonts w:ascii="Arial" w:hAnsi="Arial" w:cs="Arial"/>
                <w:color w:val="000000"/>
              </w:rPr>
              <w:t>1,</w:t>
            </w:r>
            <w:r w:rsidR="00D22873" w:rsidRPr="00D22873">
              <w:rPr>
                <w:rFonts w:ascii="Arial" w:hAnsi="Arial" w:cs="Arial"/>
                <w:color w:val="000000"/>
              </w:rPr>
              <w:t>274</w:t>
            </w:r>
          </w:p>
        </w:tc>
        <w:tc>
          <w:tcPr>
            <w:tcW w:w="1418" w:type="dxa"/>
            <w:tcBorders>
              <w:top w:val="nil"/>
              <w:left w:val="nil"/>
              <w:bottom w:val="single" w:sz="4" w:space="0" w:color="auto"/>
              <w:right w:val="nil"/>
            </w:tcBorders>
            <w:shd w:val="clear" w:color="auto" w:fill="auto"/>
            <w:noWrap/>
            <w:vAlign w:val="bottom"/>
            <w:hideMark/>
          </w:tcPr>
          <w:p w:rsidR="00F12ABC" w:rsidRPr="00D22873" w:rsidRDefault="00D22873" w:rsidP="00F12ABC">
            <w:pPr>
              <w:spacing w:after="0"/>
              <w:jc w:val="right"/>
              <w:rPr>
                <w:rFonts w:ascii="Arial" w:hAnsi="Arial" w:cs="Arial"/>
                <w:color w:val="000000"/>
              </w:rPr>
            </w:pPr>
            <w:r w:rsidRPr="00D22873">
              <w:rPr>
                <w:rFonts w:ascii="Arial" w:hAnsi="Arial" w:cs="Arial"/>
                <w:color w:val="000000"/>
              </w:rPr>
              <w:t>55</w:t>
            </w:r>
          </w:p>
        </w:tc>
        <w:tc>
          <w:tcPr>
            <w:tcW w:w="1559" w:type="dxa"/>
            <w:tcBorders>
              <w:top w:val="nil"/>
              <w:left w:val="nil"/>
              <w:bottom w:val="single" w:sz="4" w:space="0" w:color="auto"/>
              <w:right w:val="nil"/>
            </w:tcBorders>
            <w:shd w:val="clear" w:color="auto" w:fill="auto"/>
            <w:noWrap/>
            <w:vAlign w:val="bottom"/>
            <w:hideMark/>
          </w:tcPr>
          <w:p w:rsidR="00F12ABC" w:rsidRPr="00D22873" w:rsidRDefault="00D22873" w:rsidP="00F12ABC">
            <w:pPr>
              <w:spacing w:after="0"/>
              <w:jc w:val="right"/>
              <w:rPr>
                <w:rFonts w:ascii="Arial" w:hAnsi="Arial" w:cs="Arial"/>
                <w:color w:val="000000"/>
              </w:rPr>
            </w:pPr>
            <w:r w:rsidRPr="00D22873">
              <w:rPr>
                <w:rFonts w:ascii="Arial" w:hAnsi="Arial" w:cs="Arial"/>
                <w:color w:val="000000"/>
              </w:rPr>
              <w:t>942</w:t>
            </w:r>
          </w:p>
        </w:tc>
      </w:tr>
      <w:tr w:rsidR="00F12ABC" w:rsidRPr="00D22873" w:rsidTr="00EA3ABC">
        <w:trPr>
          <w:gridAfter w:val="2"/>
          <w:wAfter w:w="1276" w:type="dxa"/>
          <w:trHeight w:val="90"/>
        </w:trPr>
        <w:tc>
          <w:tcPr>
            <w:tcW w:w="1452" w:type="dxa"/>
            <w:tcBorders>
              <w:top w:val="nil"/>
              <w:left w:val="nil"/>
              <w:bottom w:val="nil"/>
              <w:right w:val="nil"/>
            </w:tcBorders>
            <w:shd w:val="clear" w:color="auto" w:fill="auto"/>
            <w:noWrap/>
            <w:vAlign w:val="bottom"/>
            <w:hideMark/>
          </w:tcPr>
          <w:p w:rsidR="00F12ABC" w:rsidRPr="00D22873" w:rsidRDefault="00F12ABC" w:rsidP="00FC7315">
            <w:pPr>
              <w:spacing w:after="0" w:line="270" w:lineRule="atLeast"/>
              <w:rPr>
                <w:rFonts w:ascii="Arial" w:eastAsia="Times New Roman" w:hAnsi="Arial" w:cs="Arial"/>
                <w:color w:val="000000"/>
                <w:lang w:eastAsia="en-GB"/>
              </w:rPr>
            </w:pPr>
          </w:p>
        </w:tc>
        <w:tc>
          <w:tcPr>
            <w:tcW w:w="830" w:type="dxa"/>
            <w:gridSpan w:val="2"/>
            <w:tcBorders>
              <w:top w:val="nil"/>
              <w:left w:val="nil"/>
              <w:bottom w:val="nil"/>
              <w:right w:val="nil"/>
            </w:tcBorders>
            <w:shd w:val="clear" w:color="auto" w:fill="auto"/>
            <w:noWrap/>
            <w:vAlign w:val="bottom"/>
            <w:hideMark/>
          </w:tcPr>
          <w:p w:rsidR="00F12ABC" w:rsidRPr="00D22873" w:rsidRDefault="00F12ABC" w:rsidP="00FC7315">
            <w:pPr>
              <w:spacing w:after="0" w:line="270" w:lineRule="atLeast"/>
              <w:rPr>
                <w:rFonts w:ascii="Arial" w:eastAsia="Times New Roman" w:hAnsi="Arial" w:cs="Arial"/>
                <w:color w:val="000000"/>
                <w:lang w:eastAsia="en-GB"/>
              </w:rPr>
            </w:pPr>
          </w:p>
        </w:tc>
        <w:tc>
          <w:tcPr>
            <w:tcW w:w="1560" w:type="dxa"/>
            <w:tcBorders>
              <w:top w:val="nil"/>
              <w:left w:val="nil"/>
              <w:bottom w:val="nil"/>
              <w:right w:val="nil"/>
            </w:tcBorders>
            <w:shd w:val="clear" w:color="auto" w:fill="auto"/>
            <w:noWrap/>
            <w:vAlign w:val="bottom"/>
            <w:hideMark/>
          </w:tcPr>
          <w:p w:rsidR="00F12ABC" w:rsidRPr="00D22873" w:rsidRDefault="00F12ABC" w:rsidP="00FC7315">
            <w:pPr>
              <w:spacing w:after="0" w:line="270" w:lineRule="atLeast"/>
              <w:rPr>
                <w:rFonts w:ascii="Arial" w:eastAsia="Times New Roman" w:hAnsi="Arial" w:cs="Arial"/>
                <w:color w:val="000000"/>
                <w:lang w:eastAsia="en-GB"/>
              </w:rPr>
            </w:pPr>
          </w:p>
        </w:tc>
        <w:tc>
          <w:tcPr>
            <w:tcW w:w="1275" w:type="dxa"/>
            <w:tcBorders>
              <w:top w:val="nil"/>
              <w:left w:val="nil"/>
              <w:bottom w:val="nil"/>
              <w:right w:val="nil"/>
            </w:tcBorders>
            <w:shd w:val="clear" w:color="auto" w:fill="auto"/>
            <w:noWrap/>
            <w:vAlign w:val="bottom"/>
            <w:hideMark/>
          </w:tcPr>
          <w:p w:rsidR="00F12ABC" w:rsidRPr="00D22873" w:rsidRDefault="00F12ABC" w:rsidP="00FC7315">
            <w:pPr>
              <w:spacing w:after="0" w:line="270" w:lineRule="atLeast"/>
              <w:rPr>
                <w:rFonts w:ascii="Arial" w:eastAsia="Times New Roman" w:hAnsi="Arial" w:cs="Arial"/>
                <w:color w:val="000000"/>
                <w:lang w:eastAsia="en-GB"/>
              </w:rPr>
            </w:pPr>
          </w:p>
        </w:tc>
        <w:tc>
          <w:tcPr>
            <w:tcW w:w="1418" w:type="dxa"/>
            <w:tcBorders>
              <w:top w:val="nil"/>
              <w:left w:val="nil"/>
              <w:bottom w:val="nil"/>
              <w:right w:val="nil"/>
            </w:tcBorders>
            <w:shd w:val="clear" w:color="auto" w:fill="auto"/>
            <w:noWrap/>
            <w:vAlign w:val="bottom"/>
            <w:hideMark/>
          </w:tcPr>
          <w:p w:rsidR="00F12ABC" w:rsidRPr="00D22873" w:rsidRDefault="00F12ABC" w:rsidP="00FC7315">
            <w:pPr>
              <w:spacing w:after="0" w:line="270" w:lineRule="atLeast"/>
              <w:rPr>
                <w:rFonts w:ascii="Arial" w:eastAsia="Times New Roman" w:hAnsi="Arial" w:cs="Arial"/>
                <w:color w:val="000000"/>
                <w:lang w:eastAsia="en-GB"/>
              </w:rPr>
            </w:pPr>
          </w:p>
        </w:tc>
        <w:tc>
          <w:tcPr>
            <w:tcW w:w="1559" w:type="dxa"/>
            <w:tcBorders>
              <w:top w:val="nil"/>
              <w:left w:val="nil"/>
              <w:bottom w:val="nil"/>
              <w:right w:val="nil"/>
            </w:tcBorders>
            <w:shd w:val="clear" w:color="auto" w:fill="auto"/>
            <w:noWrap/>
            <w:vAlign w:val="bottom"/>
            <w:hideMark/>
          </w:tcPr>
          <w:p w:rsidR="00F12ABC" w:rsidRPr="00D22873" w:rsidRDefault="00F12ABC" w:rsidP="00FC7315">
            <w:pPr>
              <w:spacing w:after="0" w:line="270" w:lineRule="atLeast"/>
              <w:rPr>
                <w:rFonts w:ascii="Arial" w:eastAsia="Times New Roman" w:hAnsi="Arial" w:cs="Arial"/>
                <w:color w:val="000000"/>
                <w:lang w:eastAsia="en-GB"/>
              </w:rPr>
            </w:pPr>
          </w:p>
        </w:tc>
      </w:tr>
      <w:tr w:rsidR="00F12ABC" w:rsidRPr="00B42A34" w:rsidTr="00EA3ABC">
        <w:trPr>
          <w:trHeight w:val="285"/>
        </w:trPr>
        <w:tc>
          <w:tcPr>
            <w:tcW w:w="9086" w:type="dxa"/>
            <w:gridSpan w:val="8"/>
            <w:tcBorders>
              <w:top w:val="nil"/>
              <w:left w:val="nil"/>
              <w:bottom w:val="nil"/>
              <w:right w:val="nil"/>
            </w:tcBorders>
            <w:shd w:val="clear" w:color="auto" w:fill="auto"/>
            <w:noWrap/>
            <w:vAlign w:val="bottom"/>
            <w:hideMark/>
          </w:tcPr>
          <w:p w:rsidR="00E015CD" w:rsidRPr="00D22873" w:rsidRDefault="008F0F5E" w:rsidP="00EA3ABC">
            <w:pPr>
              <w:spacing w:after="0" w:line="270" w:lineRule="atLeast"/>
              <w:jc w:val="both"/>
              <w:rPr>
                <w:rFonts w:ascii="Arial" w:eastAsia="Times New Roman" w:hAnsi="Arial" w:cs="Arial"/>
                <w:color w:val="000000"/>
                <w:lang w:eastAsia="en-GB"/>
              </w:rPr>
            </w:pPr>
            <w:r w:rsidRPr="00D22873">
              <w:rPr>
                <w:rFonts w:ascii="Arial" w:eastAsia="Times New Roman" w:hAnsi="Arial" w:cs="Arial"/>
                <w:color w:val="000000"/>
                <w:vertAlign w:val="superscript"/>
                <w:lang w:eastAsia="en-GB"/>
              </w:rPr>
              <w:t>1</w:t>
            </w:r>
            <w:r w:rsidR="00E015CD" w:rsidRPr="00D22873">
              <w:rPr>
                <w:rFonts w:ascii="Arial" w:eastAsia="Times New Roman" w:hAnsi="Arial" w:cs="Arial"/>
                <w:color w:val="000000"/>
                <w:lang w:eastAsia="en-GB"/>
              </w:rPr>
              <w:t xml:space="preserve"> </w:t>
            </w:r>
            <w:r w:rsidR="0064632E" w:rsidRPr="00D22873">
              <w:rPr>
                <w:rFonts w:ascii="Arial" w:eastAsia="Times New Roman" w:hAnsi="Arial" w:cs="Arial"/>
                <w:color w:val="000000"/>
                <w:lang w:eastAsia="en-GB"/>
              </w:rPr>
              <w:t>Numbers include</w:t>
            </w:r>
            <w:r w:rsidR="00E015CD" w:rsidRPr="00D22873">
              <w:rPr>
                <w:rFonts w:ascii="Arial" w:eastAsia="Times New Roman" w:hAnsi="Arial" w:cs="Arial"/>
                <w:color w:val="000000"/>
                <w:lang w:eastAsia="en-GB"/>
              </w:rPr>
              <w:t xml:space="preserve"> domestic</w:t>
            </w:r>
            <w:r w:rsidR="0064632E" w:rsidRPr="00D22873">
              <w:rPr>
                <w:rFonts w:ascii="Arial" w:eastAsia="Times New Roman" w:hAnsi="Arial" w:cs="Arial"/>
                <w:color w:val="000000"/>
                <w:lang w:eastAsia="en-GB"/>
              </w:rPr>
              <w:t>, both domestic and non-domestic</w:t>
            </w:r>
            <w:r w:rsidR="00E015CD" w:rsidRPr="00D22873">
              <w:rPr>
                <w:rFonts w:ascii="Arial" w:eastAsia="Times New Roman" w:hAnsi="Arial" w:cs="Arial"/>
                <w:color w:val="000000"/>
                <w:lang w:eastAsia="en-GB"/>
              </w:rPr>
              <w:t xml:space="preserve"> and a small number of non-domestic only</w:t>
            </w:r>
            <w:r w:rsidR="0064632E" w:rsidRPr="00D22873">
              <w:rPr>
                <w:rFonts w:ascii="Arial" w:eastAsia="Times New Roman" w:hAnsi="Arial" w:cs="Arial"/>
                <w:color w:val="000000"/>
                <w:lang w:eastAsia="en-GB"/>
              </w:rPr>
              <w:t xml:space="preserve"> participants</w:t>
            </w:r>
            <w:r w:rsidR="00E015CD" w:rsidRPr="00D22873">
              <w:rPr>
                <w:rFonts w:ascii="Arial" w:eastAsia="Times New Roman" w:hAnsi="Arial" w:cs="Arial"/>
                <w:color w:val="000000"/>
                <w:lang w:eastAsia="en-GB"/>
              </w:rPr>
              <w:t>.</w:t>
            </w:r>
          </w:p>
          <w:p w:rsidR="008F0F5E" w:rsidRPr="00D22873" w:rsidRDefault="008F0F5E" w:rsidP="00EA3ABC">
            <w:pPr>
              <w:spacing w:after="0" w:line="270" w:lineRule="atLeast"/>
              <w:jc w:val="both"/>
              <w:rPr>
                <w:rFonts w:ascii="Arial" w:eastAsia="Times New Roman" w:hAnsi="Arial" w:cs="Arial"/>
                <w:color w:val="000000"/>
                <w:lang w:eastAsia="en-GB"/>
              </w:rPr>
            </w:pPr>
            <w:r w:rsidRPr="00D22873">
              <w:rPr>
                <w:rFonts w:ascii="Arial" w:eastAsia="Times New Roman" w:hAnsi="Arial" w:cs="Arial"/>
                <w:color w:val="000000"/>
                <w:vertAlign w:val="superscript"/>
                <w:lang w:eastAsia="en-GB"/>
              </w:rPr>
              <w:t>2</w:t>
            </w:r>
            <w:r w:rsidRPr="00D22873">
              <w:rPr>
                <w:rFonts w:ascii="Arial" w:eastAsia="Times New Roman" w:hAnsi="Arial" w:cs="Arial"/>
                <w:color w:val="000000"/>
                <w:lang w:eastAsia="en-GB"/>
              </w:rPr>
              <w:t xml:space="preserve"> Months are approximate as they are based on numbers up to the end of the last full week in the month.</w:t>
            </w:r>
          </w:p>
          <w:p w:rsidR="00E015CD" w:rsidRPr="00D22873" w:rsidRDefault="00E015CD" w:rsidP="00867AC1">
            <w:pPr>
              <w:spacing w:after="0" w:line="270" w:lineRule="atLeast"/>
              <w:rPr>
                <w:rFonts w:ascii="Arial" w:eastAsia="Times New Roman" w:hAnsi="Arial" w:cs="Arial"/>
                <w:color w:val="000000"/>
                <w:lang w:eastAsia="en-GB"/>
              </w:rPr>
            </w:pPr>
          </w:p>
        </w:tc>
        <w:tc>
          <w:tcPr>
            <w:tcW w:w="284" w:type="dxa"/>
            <w:tcBorders>
              <w:top w:val="nil"/>
              <w:left w:val="nil"/>
              <w:bottom w:val="nil"/>
              <w:right w:val="nil"/>
            </w:tcBorders>
            <w:shd w:val="clear" w:color="auto" w:fill="auto"/>
            <w:noWrap/>
            <w:vAlign w:val="bottom"/>
            <w:hideMark/>
          </w:tcPr>
          <w:p w:rsidR="00F12ABC" w:rsidRPr="00D22873" w:rsidRDefault="00F12ABC" w:rsidP="00FC7315">
            <w:pPr>
              <w:spacing w:after="0" w:line="270" w:lineRule="atLeast"/>
              <w:rPr>
                <w:rFonts w:ascii="Arial" w:eastAsia="Times New Roman" w:hAnsi="Arial" w:cs="Arial"/>
                <w:color w:val="000000"/>
                <w:lang w:eastAsia="en-GB"/>
              </w:rPr>
            </w:pPr>
          </w:p>
        </w:tc>
      </w:tr>
    </w:tbl>
    <w:p w:rsidR="001A77DA" w:rsidRPr="00B42A34" w:rsidRDefault="001A77DA" w:rsidP="00FC7315">
      <w:pPr>
        <w:spacing w:after="120" w:line="270" w:lineRule="atLeast"/>
        <w:rPr>
          <w:rFonts w:ascii="Arial" w:hAnsi="Arial" w:cs="Arial"/>
          <w:b/>
          <w:bCs/>
          <w:highlight w:val="yellow"/>
        </w:rPr>
      </w:pPr>
    </w:p>
    <w:p w:rsidR="001A77DA" w:rsidRPr="00297706" w:rsidRDefault="001A77DA" w:rsidP="00FC7315">
      <w:pPr>
        <w:spacing w:after="120" w:line="270" w:lineRule="atLeast"/>
        <w:jc w:val="both"/>
        <w:rPr>
          <w:rFonts w:ascii="Arial" w:eastAsia="Times New Roman" w:hAnsi="Arial" w:cs="Arial"/>
          <w:bCs/>
          <w:color w:val="000000"/>
          <w:lang w:eastAsia="en-GB"/>
        </w:rPr>
      </w:pPr>
      <w:r w:rsidRPr="00297706">
        <w:rPr>
          <w:rFonts w:ascii="Arial" w:hAnsi="Arial" w:cs="Arial"/>
          <w:b/>
          <w:bCs/>
        </w:rPr>
        <w:t xml:space="preserve">Table 2 – </w:t>
      </w:r>
      <w:r w:rsidR="001607C9" w:rsidRPr="00297706">
        <w:rPr>
          <w:rFonts w:ascii="Arial" w:eastAsia="Times New Roman" w:hAnsi="Arial" w:cs="Arial"/>
          <w:bCs/>
          <w:color w:val="000000"/>
          <w:lang w:eastAsia="en-GB"/>
        </w:rPr>
        <w:t>Number of Green Deal Assessments</w:t>
      </w:r>
      <w:r w:rsidR="001607C9" w:rsidRPr="00297706">
        <w:rPr>
          <w:rFonts w:ascii="Arial" w:eastAsia="Times New Roman" w:hAnsi="Arial" w:cs="Arial"/>
          <w:bCs/>
          <w:color w:val="000000"/>
          <w:vertAlign w:val="superscript"/>
          <w:lang w:eastAsia="en-GB"/>
        </w:rPr>
        <w:t>1</w:t>
      </w:r>
      <w:r w:rsidR="001607C9" w:rsidRPr="00297706">
        <w:rPr>
          <w:rFonts w:ascii="Arial" w:eastAsia="Times New Roman" w:hAnsi="Arial" w:cs="Arial"/>
          <w:bCs/>
          <w:color w:val="000000"/>
          <w:lang w:eastAsia="en-GB"/>
        </w:rPr>
        <w:t>, month and cumulative total</w:t>
      </w:r>
    </w:p>
    <w:p w:rsidR="001607C9" w:rsidRPr="00297706" w:rsidRDefault="001607C9" w:rsidP="00FC7315">
      <w:pPr>
        <w:spacing w:after="120" w:line="270" w:lineRule="atLeast"/>
        <w:rPr>
          <w:rFonts w:ascii="Arial" w:hAnsi="Arial" w:cs="Arial"/>
          <w:b/>
          <w:bCs/>
        </w:rPr>
      </w:pPr>
    </w:p>
    <w:tbl>
      <w:tblPr>
        <w:tblW w:w="9370" w:type="dxa"/>
        <w:tblInd w:w="94" w:type="dxa"/>
        <w:tblLook w:val="04A0"/>
      </w:tblPr>
      <w:tblGrid>
        <w:gridCol w:w="2620"/>
        <w:gridCol w:w="1081"/>
        <w:gridCol w:w="320"/>
        <w:gridCol w:w="39"/>
        <w:gridCol w:w="1440"/>
        <w:gridCol w:w="46"/>
        <w:gridCol w:w="422"/>
        <w:gridCol w:w="538"/>
        <w:gridCol w:w="1446"/>
        <w:gridCol w:w="94"/>
        <w:gridCol w:w="960"/>
        <w:gridCol w:w="80"/>
        <w:gridCol w:w="284"/>
      </w:tblGrid>
      <w:tr w:rsidR="001A77DA" w:rsidRPr="00297706" w:rsidTr="006345B5">
        <w:trPr>
          <w:gridAfter w:val="2"/>
          <w:wAfter w:w="364" w:type="dxa"/>
          <w:trHeight w:val="255"/>
        </w:trPr>
        <w:tc>
          <w:tcPr>
            <w:tcW w:w="3701" w:type="dxa"/>
            <w:gridSpan w:val="2"/>
            <w:tcBorders>
              <w:top w:val="nil"/>
              <w:left w:val="nil"/>
              <w:bottom w:val="nil"/>
              <w:right w:val="nil"/>
            </w:tcBorders>
            <w:shd w:val="clear" w:color="auto" w:fill="auto"/>
            <w:noWrap/>
            <w:vAlign w:val="bottom"/>
            <w:hideMark/>
          </w:tcPr>
          <w:p w:rsidR="001A77DA" w:rsidRPr="00297706" w:rsidRDefault="001A77DA" w:rsidP="00FC7315">
            <w:pPr>
              <w:spacing w:after="0" w:line="270" w:lineRule="atLeast"/>
              <w:rPr>
                <w:rFonts w:ascii="Arial" w:eastAsia="Times New Roman" w:hAnsi="Arial" w:cs="Arial"/>
                <w:color w:val="000000"/>
                <w:lang w:eastAsia="en-GB"/>
              </w:rPr>
            </w:pPr>
          </w:p>
        </w:tc>
        <w:tc>
          <w:tcPr>
            <w:tcW w:w="1845" w:type="dxa"/>
            <w:gridSpan w:val="4"/>
            <w:tcBorders>
              <w:top w:val="nil"/>
              <w:left w:val="nil"/>
              <w:bottom w:val="single" w:sz="4" w:space="0" w:color="auto"/>
              <w:right w:val="nil"/>
            </w:tcBorders>
            <w:shd w:val="clear" w:color="auto" w:fill="auto"/>
            <w:noWrap/>
            <w:vAlign w:val="bottom"/>
            <w:hideMark/>
          </w:tcPr>
          <w:p w:rsidR="001A77DA" w:rsidRPr="00297706" w:rsidRDefault="001A77DA" w:rsidP="00FC7315">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Total in Month</w:t>
            </w:r>
          </w:p>
        </w:tc>
        <w:tc>
          <w:tcPr>
            <w:tcW w:w="422" w:type="dxa"/>
            <w:tcBorders>
              <w:top w:val="nil"/>
              <w:left w:val="nil"/>
              <w:bottom w:val="single" w:sz="4" w:space="0" w:color="auto"/>
              <w:right w:val="nil"/>
            </w:tcBorders>
            <w:shd w:val="clear" w:color="auto" w:fill="auto"/>
            <w:noWrap/>
            <w:vAlign w:val="bottom"/>
            <w:hideMark/>
          </w:tcPr>
          <w:p w:rsidR="001A77DA" w:rsidRPr="00297706" w:rsidRDefault="001A77DA"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 </w:t>
            </w:r>
          </w:p>
        </w:tc>
        <w:tc>
          <w:tcPr>
            <w:tcW w:w="2078" w:type="dxa"/>
            <w:gridSpan w:val="3"/>
            <w:tcBorders>
              <w:top w:val="nil"/>
              <w:left w:val="nil"/>
              <w:bottom w:val="single" w:sz="4" w:space="0" w:color="auto"/>
              <w:right w:val="nil"/>
            </w:tcBorders>
            <w:shd w:val="clear" w:color="auto" w:fill="auto"/>
            <w:noWrap/>
            <w:vAlign w:val="bottom"/>
            <w:hideMark/>
          </w:tcPr>
          <w:p w:rsidR="001A77DA" w:rsidRPr="00297706" w:rsidRDefault="001A77DA" w:rsidP="00FC7315">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Cumulative Total</w:t>
            </w:r>
          </w:p>
        </w:tc>
        <w:tc>
          <w:tcPr>
            <w:tcW w:w="960" w:type="dxa"/>
            <w:tcBorders>
              <w:top w:val="nil"/>
              <w:left w:val="nil"/>
              <w:bottom w:val="nil"/>
              <w:right w:val="nil"/>
            </w:tcBorders>
            <w:shd w:val="clear" w:color="auto" w:fill="auto"/>
            <w:noWrap/>
            <w:vAlign w:val="bottom"/>
            <w:hideMark/>
          </w:tcPr>
          <w:p w:rsidR="001A77DA" w:rsidRPr="00297706" w:rsidRDefault="001A77DA" w:rsidP="00FC7315">
            <w:pPr>
              <w:spacing w:after="0" w:line="270" w:lineRule="atLeast"/>
              <w:rPr>
                <w:rFonts w:ascii="Arial" w:eastAsia="Times New Roman" w:hAnsi="Arial" w:cs="Arial"/>
                <w:color w:val="000000"/>
                <w:lang w:eastAsia="en-GB"/>
              </w:rPr>
            </w:pPr>
          </w:p>
        </w:tc>
      </w:tr>
      <w:tr w:rsidR="001A77DA" w:rsidRPr="00297706" w:rsidTr="006345B5">
        <w:trPr>
          <w:gridAfter w:val="2"/>
          <w:wAfter w:w="364" w:type="dxa"/>
          <w:trHeight w:val="555"/>
        </w:trPr>
        <w:tc>
          <w:tcPr>
            <w:tcW w:w="4021" w:type="dxa"/>
            <w:gridSpan w:val="3"/>
            <w:tcBorders>
              <w:top w:val="single" w:sz="4" w:space="0" w:color="auto"/>
              <w:left w:val="nil"/>
              <w:bottom w:val="single" w:sz="4" w:space="0" w:color="auto"/>
              <w:right w:val="nil"/>
            </w:tcBorders>
            <w:shd w:val="clear" w:color="auto" w:fill="auto"/>
            <w:noWrap/>
            <w:vAlign w:val="center"/>
            <w:hideMark/>
          </w:tcPr>
          <w:p w:rsidR="001A77DA" w:rsidRPr="00297706" w:rsidRDefault="001A77DA"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Month</w:t>
            </w:r>
          </w:p>
        </w:tc>
        <w:tc>
          <w:tcPr>
            <w:tcW w:w="1525" w:type="dxa"/>
            <w:gridSpan w:val="3"/>
            <w:tcBorders>
              <w:top w:val="nil"/>
              <w:left w:val="nil"/>
              <w:bottom w:val="single" w:sz="4" w:space="0" w:color="auto"/>
              <w:right w:val="nil"/>
            </w:tcBorders>
            <w:shd w:val="clear" w:color="auto" w:fill="auto"/>
            <w:vAlign w:val="bottom"/>
            <w:hideMark/>
          </w:tcPr>
          <w:p w:rsidR="001A77DA" w:rsidRPr="00297706" w:rsidRDefault="001A77DA" w:rsidP="00FC7315">
            <w:pPr>
              <w:spacing w:after="0" w:line="270" w:lineRule="atLeast"/>
              <w:jc w:val="center"/>
              <w:rPr>
                <w:rFonts w:ascii="Arial" w:eastAsia="Times New Roman" w:hAnsi="Arial" w:cs="Arial"/>
                <w:color w:val="000000"/>
                <w:lang w:eastAsia="en-GB"/>
              </w:rPr>
            </w:pPr>
            <w:r w:rsidRPr="00297706">
              <w:rPr>
                <w:rFonts w:ascii="Arial" w:eastAsia="Times New Roman" w:hAnsi="Arial" w:cs="Arial"/>
                <w:color w:val="000000"/>
                <w:lang w:eastAsia="en-GB"/>
              </w:rPr>
              <w:t>Green Deal Assessments</w:t>
            </w:r>
          </w:p>
        </w:tc>
        <w:tc>
          <w:tcPr>
            <w:tcW w:w="960" w:type="dxa"/>
            <w:gridSpan w:val="2"/>
            <w:tcBorders>
              <w:top w:val="nil"/>
              <w:left w:val="nil"/>
              <w:bottom w:val="single" w:sz="4" w:space="0" w:color="auto"/>
              <w:right w:val="nil"/>
            </w:tcBorders>
            <w:shd w:val="clear" w:color="auto" w:fill="auto"/>
            <w:noWrap/>
            <w:vAlign w:val="bottom"/>
            <w:hideMark/>
          </w:tcPr>
          <w:p w:rsidR="001A77DA" w:rsidRPr="00297706" w:rsidRDefault="001A77DA"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 </w:t>
            </w:r>
          </w:p>
        </w:tc>
        <w:tc>
          <w:tcPr>
            <w:tcW w:w="1540" w:type="dxa"/>
            <w:gridSpan w:val="2"/>
            <w:tcBorders>
              <w:top w:val="nil"/>
              <w:left w:val="nil"/>
              <w:bottom w:val="single" w:sz="4" w:space="0" w:color="auto"/>
              <w:right w:val="nil"/>
            </w:tcBorders>
            <w:shd w:val="clear" w:color="auto" w:fill="auto"/>
            <w:vAlign w:val="bottom"/>
            <w:hideMark/>
          </w:tcPr>
          <w:p w:rsidR="001A77DA" w:rsidRPr="00297706" w:rsidRDefault="001A77DA" w:rsidP="00FC7315">
            <w:pPr>
              <w:spacing w:after="0" w:line="270" w:lineRule="atLeast"/>
              <w:jc w:val="center"/>
              <w:rPr>
                <w:rFonts w:ascii="Arial" w:eastAsia="Times New Roman" w:hAnsi="Arial" w:cs="Arial"/>
                <w:color w:val="000000"/>
                <w:lang w:eastAsia="en-GB"/>
              </w:rPr>
            </w:pPr>
            <w:r w:rsidRPr="00297706">
              <w:rPr>
                <w:rFonts w:ascii="Arial" w:eastAsia="Times New Roman" w:hAnsi="Arial" w:cs="Arial"/>
                <w:color w:val="000000"/>
                <w:lang w:eastAsia="en-GB"/>
              </w:rPr>
              <w:t>Green Deal Assessments</w:t>
            </w:r>
          </w:p>
        </w:tc>
        <w:tc>
          <w:tcPr>
            <w:tcW w:w="960" w:type="dxa"/>
            <w:tcBorders>
              <w:top w:val="nil"/>
              <w:left w:val="nil"/>
              <w:bottom w:val="nil"/>
              <w:right w:val="nil"/>
            </w:tcBorders>
            <w:shd w:val="clear" w:color="auto" w:fill="auto"/>
            <w:noWrap/>
            <w:vAlign w:val="bottom"/>
            <w:hideMark/>
          </w:tcPr>
          <w:p w:rsidR="001A77DA" w:rsidRPr="00297706" w:rsidRDefault="001A77DA" w:rsidP="00FC7315">
            <w:pPr>
              <w:spacing w:after="0" w:line="270" w:lineRule="atLeast"/>
              <w:rPr>
                <w:rFonts w:ascii="Arial" w:eastAsia="Times New Roman" w:hAnsi="Arial" w:cs="Arial"/>
                <w:color w:val="000000"/>
                <w:lang w:eastAsia="en-GB"/>
              </w:rPr>
            </w:pPr>
          </w:p>
        </w:tc>
      </w:tr>
      <w:tr w:rsidR="001A77DA" w:rsidRPr="00297706" w:rsidTr="006345B5">
        <w:trPr>
          <w:gridAfter w:val="2"/>
          <w:wAfter w:w="364" w:type="dxa"/>
          <w:trHeight w:val="285"/>
        </w:trPr>
        <w:tc>
          <w:tcPr>
            <w:tcW w:w="4021" w:type="dxa"/>
            <w:gridSpan w:val="3"/>
            <w:tcBorders>
              <w:top w:val="nil"/>
              <w:left w:val="nil"/>
              <w:right w:val="nil"/>
            </w:tcBorders>
            <w:shd w:val="clear" w:color="000000" w:fill="FFFFFF"/>
            <w:noWrap/>
            <w:vAlign w:val="bottom"/>
            <w:hideMark/>
          </w:tcPr>
          <w:p w:rsidR="001A77DA" w:rsidRPr="00297706" w:rsidRDefault="001A77DA"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January 2013</w:t>
            </w:r>
            <w:r w:rsidRPr="00297706">
              <w:rPr>
                <w:rFonts w:ascii="Arial" w:eastAsia="Times New Roman" w:hAnsi="Arial" w:cs="Arial"/>
                <w:color w:val="000000"/>
                <w:vertAlign w:val="superscript"/>
                <w:lang w:eastAsia="en-GB"/>
              </w:rPr>
              <w:t>2</w:t>
            </w:r>
          </w:p>
        </w:tc>
        <w:tc>
          <w:tcPr>
            <w:tcW w:w="1525" w:type="dxa"/>
            <w:gridSpan w:val="3"/>
            <w:tcBorders>
              <w:top w:val="nil"/>
              <w:left w:val="nil"/>
              <w:right w:val="nil"/>
            </w:tcBorders>
            <w:shd w:val="clear" w:color="auto" w:fill="auto"/>
            <w:noWrap/>
            <w:vAlign w:val="bottom"/>
            <w:hideMark/>
          </w:tcPr>
          <w:p w:rsidR="001A77DA" w:rsidRPr="00297706" w:rsidRDefault="001A77DA" w:rsidP="00FC7315">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74</w:t>
            </w:r>
          </w:p>
        </w:tc>
        <w:tc>
          <w:tcPr>
            <w:tcW w:w="960" w:type="dxa"/>
            <w:gridSpan w:val="2"/>
            <w:tcBorders>
              <w:top w:val="nil"/>
              <w:left w:val="nil"/>
              <w:right w:val="nil"/>
            </w:tcBorders>
            <w:shd w:val="clear" w:color="auto" w:fill="auto"/>
            <w:noWrap/>
            <w:vAlign w:val="bottom"/>
            <w:hideMark/>
          </w:tcPr>
          <w:p w:rsidR="001A77DA" w:rsidRPr="00297706" w:rsidRDefault="001A77DA" w:rsidP="00FC7315">
            <w:pPr>
              <w:spacing w:after="0" w:line="270" w:lineRule="atLeast"/>
              <w:rPr>
                <w:rFonts w:ascii="Arial" w:eastAsia="Times New Roman" w:hAnsi="Arial" w:cs="Arial"/>
                <w:color w:val="000000"/>
                <w:lang w:eastAsia="en-GB"/>
              </w:rPr>
            </w:pPr>
          </w:p>
        </w:tc>
        <w:tc>
          <w:tcPr>
            <w:tcW w:w="1540" w:type="dxa"/>
            <w:gridSpan w:val="2"/>
            <w:tcBorders>
              <w:top w:val="nil"/>
              <w:left w:val="nil"/>
              <w:right w:val="nil"/>
            </w:tcBorders>
            <w:shd w:val="clear" w:color="auto" w:fill="auto"/>
            <w:noWrap/>
            <w:vAlign w:val="bottom"/>
            <w:hideMark/>
          </w:tcPr>
          <w:p w:rsidR="001A77DA" w:rsidRPr="00297706" w:rsidRDefault="001A77DA" w:rsidP="00FC7315">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74</w:t>
            </w:r>
          </w:p>
        </w:tc>
        <w:tc>
          <w:tcPr>
            <w:tcW w:w="960" w:type="dxa"/>
            <w:tcBorders>
              <w:top w:val="nil"/>
              <w:left w:val="nil"/>
              <w:right w:val="nil"/>
            </w:tcBorders>
            <w:shd w:val="clear" w:color="auto" w:fill="auto"/>
            <w:noWrap/>
            <w:vAlign w:val="bottom"/>
            <w:hideMark/>
          </w:tcPr>
          <w:p w:rsidR="001A77DA" w:rsidRPr="00297706" w:rsidRDefault="001A77DA" w:rsidP="00FC7315">
            <w:pPr>
              <w:spacing w:after="0" w:line="270" w:lineRule="atLeast"/>
              <w:rPr>
                <w:rFonts w:ascii="Arial" w:eastAsia="Times New Roman" w:hAnsi="Arial" w:cs="Arial"/>
                <w:color w:val="000000"/>
                <w:lang w:eastAsia="en-GB"/>
              </w:rPr>
            </w:pPr>
          </w:p>
        </w:tc>
      </w:tr>
      <w:tr w:rsidR="00F12ABC" w:rsidRPr="00297706" w:rsidTr="006345B5">
        <w:trPr>
          <w:gridAfter w:val="2"/>
          <w:wAfter w:w="364" w:type="dxa"/>
          <w:trHeight w:val="255"/>
        </w:trPr>
        <w:tc>
          <w:tcPr>
            <w:tcW w:w="4021" w:type="dxa"/>
            <w:gridSpan w:val="3"/>
            <w:tcBorders>
              <w:top w:val="nil"/>
              <w:left w:val="nil"/>
              <w:right w:val="nil"/>
            </w:tcBorders>
            <w:shd w:val="clear" w:color="000000" w:fill="FFFFFF"/>
            <w:noWrap/>
            <w:vAlign w:val="bottom"/>
            <w:hideMark/>
          </w:tcPr>
          <w:p w:rsidR="00F12ABC" w:rsidRPr="00297706" w:rsidRDefault="00F12ABC" w:rsidP="00491E9F">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February 2013</w:t>
            </w:r>
          </w:p>
        </w:tc>
        <w:tc>
          <w:tcPr>
            <w:tcW w:w="1525" w:type="dxa"/>
            <w:gridSpan w:val="3"/>
            <w:tcBorders>
              <w:top w:val="nil"/>
              <w:left w:val="nil"/>
              <w:right w:val="nil"/>
            </w:tcBorders>
            <w:shd w:val="clear" w:color="auto" w:fill="auto"/>
            <w:noWrap/>
            <w:vAlign w:val="bottom"/>
            <w:hideMark/>
          </w:tcPr>
          <w:p w:rsidR="00F12ABC" w:rsidRPr="00297706" w:rsidRDefault="00F12ABC" w:rsidP="00491E9F">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1,729</w:t>
            </w:r>
          </w:p>
        </w:tc>
        <w:tc>
          <w:tcPr>
            <w:tcW w:w="960" w:type="dxa"/>
            <w:gridSpan w:val="2"/>
            <w:tcBorders>
              <w:top w:val="nil"/>
              <w:left w:val="nil"/>
              <w:right w:val="nil"/>
            </w:tcBorders>
            <w:shd w:val="clear" w:color="auto" w:fill="auto"/>
            <w:noWrap/>
            <w:vAlign w:val="bottom"/>
            <w:hideMark/>
          </w:tcPr>
          <w:p w:rsidR="00F12ABC" w:rsidRPr="00297706" w:rsidRDefault="00F12ABC" w:rsidP="00491E9F">
            <w:pPr>
              <w:spacing w:after="0" w:line="270" w:lineRule="atLeast"/>
              <w:rPr>
                <w:rFonts w:ascii="Arial" w:eastAsia="Times New Roman" w:hAnsi="Arial" w:cs="Arial"/>
                <w:color w:val="000000"/>
                <w:lang w:eastAsia="en-GB"/>
              </w:rPr>
            </w:pPr>
          </w:p>
        </w:tc>
        <w:tc>
          <w:tcPr>
            <w:tcW w:w="1540" w:type="dxa"/>
            <w:gridSpan w:val="2"/>
            <w:tcBorders>
              <w:top w:val="nil"/>
              <w:left w:val="nil"/>
              <w:right w:val="nil"/>
            </w:tcBorders>
            <w:shd w:val="clear" w:color="auto" w:fill="auto"/>
            <w:noWrap/>
            <w:vAlign w:val="bottom"/>
            <w:hideMark/>
          </w:tcPr>
          <w:p w:rsidR="00F12ABC" w:rsidRPr="00297706" w:rsidRDefault="00F12ABC" w:rsidP="00491E9F">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1,803</w:t>
            </w:r>
          </w:p>
        </w:tc>
        <w:tc>
          <w:tcPr>
            <w:tcW w:w="960" w:type="dxa"/>
            <w:tcBorders>
              <w:top w:val="nil"/>
              <w:left w:val="nil"/>
              <w:right w:val="nil"/>
            </w:tcBorders>
            <w:shd w:val="clear" w:color="auto" w:fill="auto"/>
            <w:noWrap/>
            <w:vAlign w:val="bottom"/>
            <w:hideMark/>
          </w:tcPr>
          <w:p w:rsidR="00F12ABC" w:rsidRPr="00297706" w:rsidRDefault="00F12ABC" w:rsidP="00FC7315">
            <w:pPr>
              <w:spacing w:after="0" w:line="270" w:lineRule="atLeast"/>
              <w:rPr>
                <w:rFonts w:ascii="Arial" w:eastAsia="Times New Roman" w:hAnsi="Arial" w:cs="Arial"/>
                <w:color w:val="000000"/>
                <w:lang w:eastAsia="en-GB"/>
              </w:rPr>
            </w:pPr>
          </w:p>
        </w:tc>
      </w:tr>
      <w:tr w:rsidR="00D22873" w:rsidRPr="00297706" w:rsidTr="006345B5">
        <w:trPr>
          <w:gridAfter w:val="2"/>
          <w:wAfter w:w="364" w:type="dxa"/>
          <w:trHeight w:val="255"/>
        </w:trPr>
        <w:tc>
          <w:tcPr>
            <w:tcW w:w="4021" w:type="dxa"/>
            <w:gridSpan w:val="3"/>
            <w:tcBorders>
              <w:top w:val="nil"/>
              <w:left w:val="nil"/>
              <w:right w:val="nil"/>
            </w:tcBorders>
            <w:shd w:val="clear" w:color="000000" w:fill="FFFFFF"/>
            <w:noWrap/>
            <w:vAlign w:val="bottom"/>
            <w:hideMark/>
          </w:tcPr>
          <w:p w:rsidR="00D22873" w:rsidRPr="00297706" w:rsidRDefault="00D22873" w:rsidP="00D22873">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March 2013</w:t>
            </w:r>
            <w:r w:rsidR="00297706" w:rsidRPr="00297706">
              <w:rPr>
                <w:rFonts w:ascii="Arial" w:eastAsia="Times New Roman" w:hAnsi="Arial" w:cs="Arial"/>
                <w:color w:val="000000"/>
                <w:vertAlign w:val="superscript"/>
                <w:lang w:eastAsia="en-GB"/>
              </w:rPr>
              <w:t>3</w:t>
            </w:r>
          </w:p>
        </w:tc>
        <w:tc>
          <w:tcPr>
            <w:tcW w:w="1525" w:type="dxa"/>
            <w:gridSpan w:val="3"/>
            <w:tcBorders>
              <w:top w:val="nil"/>
              <w:left w:val="nil"/>
              <w:right w:val="nil"/>
            </w:tcBorders>
            <w:shd w:val="clear" w:color="auto" w:fill="auto"/>
            <w:noWrap/>
            <w:vAlign w:val="bottom"/>
            <w:hideMark/>
          </w:tcPr>
          <w:p w:rsidR="00D22873" w:rsidRPr="00297706" w:rsidRDefault="00D22873" w:rsidP="00D22873">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7,491</w:t>
            </w:r>
          </w:p>
        </w:tc>
        <w:tc>
          <w:tcPr>
            <w:tcW w:w="960" w:type="dxa"/>
            <w:gridSpan w:val="2"/>
            <w:tcBorders>
              <w:top w:val="nil"/>
              <w:left w:val="nil"/>
              <w:right w:val="nil"/>
            </w:tcBorders>
            <w:shd w:val="clear" w:color="auto" w:fill="auto"/>
            <w:noWrap/>
            <w:vAlign w:val="bottom"/>
            <w:hideMark/>
          </w:tcPr>
          <w:p w:rsidR="00D22873" w:rsidRPr="00297706" w:rsidRDefault="00D22873" w:rsidP="00D22873">
            <w:pPr>
              <w:spacing w:after="0" w:line="270" w:lineRule="atLeast"/>
              <w:rPr>
                <w:rFonts w:ascii="Arial" w:eastAsia="Times New Roman" w:hAnsi="Arial" w:cs="Arial"/>
                <w:color w:val="000000"/>
                <w:lang w:eastAsia="en-GB"/>
              </w:rPr>
            </w:pPr>
          </w:p>
        </w:tc>
        <w:tc>
          <w:tcPr>
            <w:tcW w:w="1540" w:type="dxa"/>
            <w:gridSpan w:val="2"/>
            <w:tcBorders>
              <w:top w:val="nil"/>
              <w:left w:val="nil"/>
              <w:right w:val="nil"/>
            </w:tcBorders>
            <w:shd w:val="clear" w:color="auto" w:fill="auto"/>
            <w:noWrap/>
            <w:vAlign w:val="bottom"/>
            <w:hideMark/>
          </w:tcPr>
          <w:p w:rsidR="00D22873" w:rsidRPr="00297706" w:rsidRDefault="00D22873" w:rsidP="00D22873">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9,294</w:t>
            </w:r>
          </w:p>
        </w:tc>
        <w:tc>
          <w:tcPr>
            <w:tcW w:w="960" w:type="dxa"/>
            <w:tcBorders>
              <w:top w:val="nil"/>
              <w:left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r>
      <w:tr w:rsidR="00D22873" w:rsidRPr="00297706" w:rsidTr="006345B5">
        <w:trPr>
          <w:gridAfter w:val="2"/>
          <w:wAfter w:w="364" w:type="dxa"/>
          <w:trHeight w:val="255"/>
        </w:trPr>
        <w:tc>
          <w:tcPr>
            <w:tcW w:w="4021" w:type="dxa"/>
            <w:gridSpan w:val="3"/>
            <w:tcBorders>
              <w:left w:val="nil"/>
              <w:bottom w:val="single" w:sz="4" w:space="0" w:color="auto"/>
              <w:right w:val="nil"/>
            </w:tcBorders>
            <w:shd w:val="clear" w:color="000000" w:fill="FFFFFF"/>
            <w:noWrap/>
            <w:vAlign w:val="bottom"/>
            <w:hideMark/>
          </w:tcPr>
          <w:p w:rsidR="00D22873" w:rsidRPr="00297706" w:rsidRDefault="00297706"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April</w:t>
            </w:r>
            <w:r w:rsidR="00D22873" w:rsidRPr="00297706">
              <w:rPr>
                <w:rFonts w:ascii="Arial" w:eastAsia="Times New Roman" w:hAnsi="Arial" w:cs="Arial"/>
                <w:color w:val="000000"/>
                <w:lang w:eastAsia="en-GB"/>
              </w:rPr>
              <w:t xml:space="preserve"> 2013</w:t>
            </w:r>
          </w:p>
        </w:tc>
        <w:tc>
          <w:tcPr>
            <w:tcW w:w="1525" w:type="dxa"/>
            <w:gridSpan w:val="3"/>
            <w:tcBorders>
              <w:left w:val="nil"/>
              <w:bottom w:val="single" w:sz="4" w:space="0" w:color="auto"/>
              <w:right w:val="nil"/>
            </w:tcBorders>
            <w:shd w:val="clear" w:color="auto" w:fill="auto"/>
            <w:noWrap/>
            <w:vAlign w:val="bottom"/>
            <w:hideMark/>
          </w:tcPr>
          <w:p w:rsidR="00D22873" w:rsidRPr="00297706" w:rsidRDefault="00D22873" w:rsidP="00FC7315">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9,522</w:t>
            </w:r>
          </w:p>
        </w:tc>
        <w:tc>
          <w:tcPr>
            <w:tcW w:w="960" w:type="dxa"/>
            <w:gridSpan w:val="2"/>
            <w:tcBorders>
              <w:left w:val="nil"/>
              <w:bottom w:val="single" w:sz="4" w:space="0" w:color="auto"/>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1540" w:type="dxa"/>
            <w:gridSpan w:val="2"/>
            <w:tcBorders>
              <w:left w:val="nil"/>
              <w:bottom w:val="single" w:sz="4" w:space="0" w:color="auto"/>
              <w:right w:val="nil"/>
            </w:tcBorders>
            <w:shd w:val="clear" w:color="auto" w:fill="auto"/>
            <w:noWrap/>
            <w:vAlign w:val="bottom"/>
            <w:hideMark/>
          </w:tcPr>
          <w:p w:rsidR="00D22873" w:rsidRPr="00297706" w:rsidRDefault="00D22873" w:rsidP="00FC7315">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18,816</w:t>
            </w:r>
          </w:p>
        </w:tc>
        <w:tc>
          <w:tcPr>
            <w:tcW w:w="960" w:type="dxa"/>
            <w:tcBorders>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r>
      <w:tr w:rsidR="00D22873" w:rsidRPr="00297706" w:rsidTr="006345B5">
        <w:trPr>
          <w:gridAfter w:val="2"/>
          <w:wAfter w:w="364" w:type="dxa"/>
          <w:trHeight w:val="137"/>
        </w:trPr>
        <w:tc>
          <w:tcPr>
            <w:tcW w:w="4021" w:type="dxa"/>
            <w:gridSpan w:val="3"/>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sz w:val="12"/>
                <w:szCs w:val="12"/>
                <w:lang w:eastAsia="en-GB"/>
              </w:rPr>
            </w:pPr>
          </w:p>
        </w:tc>
        <w:tc>
          <w:tcPr>
            <w:tcW w:w="1525" w:type="dxa"/>
            <w:gridSpan w:val="3"/>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960" w:type="dxa"/>
            <w:gridSpan w:val="2"/>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1540" w:type="dxa"/>
            <w:gridSpan w:val="2"/>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960" w:type="dxa"/>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r>
      <w:tr w:rsidR="00D22873" w:rsidRPr="00B42A34" w:rsidTr="006345B5">
        <w:trPr>
          <w:gridAfter w:val="1"/>
          <w:wAfter w:w="284" w:type="dxa"/>
          <w:trHeight w:val="60"/>
        </w:trPr>
        <w:tc>
          <w:tcPr>
            <w:tcW w:w="9086" w:type="dxa"/>
            <w:gridSpan w:val="12"/>
            <w:tcBorders>
              <w:top w:val="nil"/>
              <w:left w:val="nil"/>
              <w:bottom w:val="nil"/>
              <w:right w:val="nil"/>
            </w:tcBorders>
            <w:shd w:val="clear" w:color="auto" w:fill="auto"/>
            <w:noWrap/>
            <w:vAlign w:val="bottom"/>
            <w:hideMark/>
          </w:tcPr>
          <w:p w:rsidR="00D22873" w:rsidRPr="00297706" w:rsidRDefault="00D22873" w:rsidP="00EA3ABC">
            <w:pPr>
              <w:spacing w:after="0" w:line="270" w:lineRule="atLeast"/>
              <w:jc w:val="both"/>
              <w:rPr>
                <w:rFonts w:ascii="Arial" w:eastAsia="Times New Roman" w:hAnsi="Arial" w:cs="Arial"/>
                <w:color w:val="000000"/>
                <w:lang w:eastAsia="en-GB"/>
              </w:rPr>
            </w:pPr>
            <w:r w:rsidRPr="00297706">
              <w:rPr>
                <w:rFonts w:ascii="Arial" w:eastAsia="Times New Roman" w:hAnsi="Arial" w:cs="Arial"/>
                <w:color w:val="000000"/>
                <w:vertAlign w:val="superscript"/>
                <w:lang w:eastAsia="en-GB"/>
              </w:rPr>
              <w:t>1</w:t>
            </w:r>
            <w:r w:rsidRPr="00297706">
              <w:rPr>
                <w:rFonts w:ascii="Arial" w:eastAsia="Times New Roman" w:hAnsi="Arial" w:cs="Arial"/>
                <w:color w:val="000000"/>
                <w:lang w:eastAsia="en-GB"/>
              </w:rPr>
              <w:t xml:space="preserve"> As measured by the number of GD Assessments lodged on the central register against unique property.</w:t>
            </w:r>
          </w:p>
        </w:tc>
      </w:tr>
      <w:tr w:rsidR="00D22873" w:rsidRPr="00B42A34" w:rsidTr="006345B5">
        <w:trPr>
          <w:trHeight w:val="285"/>
        </w:trPr>
        <w:tc>
          <w:tcPr>
            <w:tcW w:w="9370" w:type="dxa"/>
            <w:gridSpan w:val="13"/>
            <w:tcBorders>
              <w:top w:val="nil"/>
              <w:left w:val="nil"/>
              <w:bottom w:val="nil"/>
              <w:right w:val="nil"/>
            </w:tcBorders>
            <w:shd w:val="clear" w:color="auto" w:fill="auto"/>
            <w:noWrap/>
            <w:vAlign w:val="bottom"/>
            <w:hideMark/>
          </w:tcPr>
          <w:p w:rsidR="00D22873" w:rsidRPr="00297706" w:rsidRDefault="00D22873" w:rsidP="00EA3ABC">
            <w:pPr>
              <w:spacing w:after="0" w:line="270" w:lineRule="atLeast"/>
              <w:jc w:val="both"/>
              <w:rPr>
                <w:rFonts w:ascii="Arial" w:eastAsia="Times New Roman" w:hAnsi="Arial" w:cs="Arial"/>
                <w:color w:val="000000"/>
                <w:lang w:eastAsia="en-GB"/>
              </w:rPr>
            </w:pPr>
            <w:r w:rsidRPr="00297706">
              <w:rPr>
                <w:rFonts w:ascii="Arial" w:eastAsia="Times New Roman" w:hAnsi="Arial" w:cs="Arial"/>
                <w:color w:val="000000"/>
                <w:vertAlign w:val="superscript"/>
                <w:lang w:eastAsia="en-GB"/>
              </w:rPr>
              <w:t>2</w:t>
            </w:r>
            <w:r w:rsidRPr="00297706">
              <w:rPr>
                <w:rFonts w:ascii="Arial" w:eastAsia="Times New Roman" w:hAnsi="Arial" w:cs="Arial"/>
                <w:color w:val="000000"/>
                <w:lang w:eastAsia="en-GB"/>
              </w:rPr>
              <w:t xml:space="preserve"> Includes any Assessments lodged in December 2012.</w:t>
            </w:r>
          </w:p>
          <w:p w:rsidR="00297706" w:rsidRPr="00297706" w:rsidRDefault="00297706" w:rsidP="00EA3ABC">
            <w:pPr>
              <w:spacing w:after="0" w:line="270" w:lineRule="atLeast"/>
              <w:jc w:val="both"/>
              <w:rPr>
                <w:rFonts w:ascii="Arial" w:eastAsia="Times New Roman" w:hAnsi="Arial" w:cs="Arial"/>
                <w:color w:val="000000"/>
                <w:lang w:eastAsia="en-GB"/>
              </w:rPr>
            </w:pPr>
            <w:r w:rsidRPr="00297706">
              <w:rPr>
                <w:rFonts w:ascii="Arial" w:eastAsia="Times New Roman" w:hAnsi="Arial" w:cs="Arial"/>
                <w:color w:val="000000"/>
                <w:vertAlign w:val="superscript"/>
                <w:lang w:eastAsia="en-GB"/>
              </w:rPr>
              <w:t>3</w:t>
            </w:r>
            <w:r w:rsidRPr="00297706">
              <w:rPr>
                <w:rFonts w:ascii="Arial" w:eastAsia="Times New Roman" w:hAnsi="Arial" w:cs="Arial"/>
                <w:color w:val="000000"/>
                <w:lang w:eastAsia="en-GB"/>
              </w:rPr>
              <w:t xml:space="preserve"> The </w:t>
            </w:r>
            <w:bookmarkStart w:id="21" w:name="OLE_LINK19"/>
            <w:bookmarkStart w:id="22" w:name="OLE_LINK20"/>
            <w:r w:rsidRPr="00297706">
              <w:rPr>
                <w:rFonts w:ascii="Arial" w:eastAsia="Times New Roman" w:hAnsi="Arial" w:cs="Arial"/>
                <w:color w:val="000000"/>
                <w:lang w:eastAsia="en-GB"/>
              </w:rPr>
              <w:t xml:space="preserve">number of Assessments in March </w:t>
            </w:r>
            <w:r w:rsidR="00AC0366">
              <w:rPr>
                <w:rFonts w:ascii="Arial" w:eastAsia="Times New Roman" w:hAnsi="Arial" w:cs="Arial"/>
                <w:color w:val="000000"/>
                <w:lang w:eastAsia="en-GB"/>
              </w:rPr>
              <w:t>has been revised from 7,465 to 7,491</w:t>
            </w:r>
            <w:r w:rsidR="004E25A9">
              <w:rPr>
                <w:rFonts w:ascii="Arial" w:eastAsia="Times New Roman" w:hAnsi="Arial" w:cs="Arial"/>
                <w:color w:val="000000"/>
                <w:lang w:eastAsia="en-GB"/>
              </w:rPr>
              <w:t xml:space="preserve"> to reflect</w:t>
            </w:r>
            <w:r w:rsidR="006345B5">
              <w:rPr>
                <w:rFonts w:ascii="Arial" w:eastAsia="Times New Roman" w:hAnsi="Arial" w:cs="Arial"/>
                <w:color w:val="000000"/>
                <w:lang w:eastAsia="en-GB"/>
              </w:rPr>
              <w:t xml:space="preserve"> u</w:t>
            </w:r>
            <w:r w:rsidR="004E25A9">
              <w:rPr>
                <w:rFonts w:ascii="Arial" w:eastAsia="Times New Roman" w:hAnsi="Arial" w:cs="Arial"/>
                <w:color w:val="000000"/>
                <w:lang w:eastAsia="en-GB"/>
              </w:rPr>
              <w:t>pdated</w:t>
            </w:r>
            <w:r w:rsidR="006345B5">
              <w:rPr>
                <w:rFonts w:ascii="Arial" w:eastAsia="Times New Roman" w:hAnsi="Arial" w:cs="Arial"/>
                <w:color w:val="000000"/>
                <w:lang w:eastAsia="en-GB"/>
              </w:rPr>
              <w:t xml:space="preserve"> </w:t>
            </w:r>
            <w:r w:rsidR="004E25A9">
              <w:rPr>
                <w:rFonts w:ascii="Arial" w:eastAsia="Times New Roman" w:hAnsi="Arial" w:cs="Arial"/>
                <w:color w:val="000000"/>
                <w:lang w:eastAsia="en-GB"/>
              </w:rPr>
              <w:t>returns</w:t>
            </w:r>
            <w:r w:rsidRPr="00297706">
              <w:rPr>
                <w:rFonts w:ascii="Arial" w:eastAsia="Times New Roman" w:hAnsi="Arial" w:cs="Arial"/>
                <w:color w:val="000000"/>
                <w:lang w:eastAsia="en-GB"/>
              </w:rPr>
              <w:t>.</w:t>
            </w:r>
            <w:bookmarkEnd w:id="21"/>
            <w:bookmarkEnd w:id="22"/>
          </w:p>
          <w:p w:rsidR="00D22873" w:rsidRPr="00297706" w:rsidRDefault="00D22873" w:rsidP="00EA3ABC">
            <w:pPr>
              <w:spacing w:after="0" w:line="270" w:lineRule="atLeast"/>
              <w:jc w:val="both"/>
              <w:rPr>
                <w:rFonts w:ascii="Arial" w:eastAsia="Times New Roman" w:hAnsi="Arial" w:cs="Arial"/>
                <w:color w:val="000000"/>
                <w:lang w:eastAsia="en-GB"/>
              </w:rPr>
            </w:pPr>
          </w:p>
          <w:p w:rsidR="00D22873" w:rsidRPr="00297706" w:rsidRDefault="00D22873" w:rsidP="00EA3ABC">
            <w:pPr>
              <w:spacing w:after="0" w:line="270" w:lineRule="atLeast"/>
              <w:jc w:val="both"/>
              <w:rPr>
                <w:rFonts w:ascii="Arial" w:eastAsia="Times New Roman" w:hAnsi="Arial" w:cs="Arial"/>
                <w:color w:val="000000"/>
                <w:lang w:eastAsia="en-GB"/>
              </w:rPr>
            </w:pPr>
          </w:p>
          <w:p w:rsidR="00D22873" w:rsidRPr="00297706" w:rsidRDefault="00D22873" w:rsidP="00EA3ABC">
            <w:pPr>
              <w:spacing w:after="0" w:line="270" w:lineRule="atLeast"/>
              <w:jc w:val="both"/>
              <w:rPr>
                <w:rFonts w:ascii="Arial" w:eastAsia="Times New Roman" w:hAnsi="Arial" w:cs="Arial"/>
                <w:color w:val="000000"/>
                <w:lang w:eastAsia="en-GB"/>
              </w:rPr>
            </w:pPr>
          </w:p>
          <w:p w:rsidR="00297706" w:rsidRPr="00297706" w:rsidRDefault="00297706" w:rsidP="00EA3ABC">
            <w:pPr>
              <w:spacing w:after="120" w:line="270" w:lineRule="atLeast"/>
              <w:jc w:val="both"/>
              <w:rPr>
                <w:rFonts w:ascii="Arial" w:hAnsi="Arial" w:cs="Arial"/>
                <w:b/>
                <w:bCs/>
              </w:rPr>
            </w:pPr>
          </w:p>
          <w:p w:rsidR="00297706" w:rsidRPr="00297706" w:rsidRDefault="00297706" w:rsidP="00EA3ABC">
            <w:pPr>
              <w:spacing w:after="120" w:line="270" w:lineRule="atLeast"/>
              <w:jc w:val="both"/>
              <w:rPr>
                <w:rFonts w:ascii="Arial" w:hAnsi="Arial" w:cs="Arial"/>
                <w:b/>
                <w:bCs/>
              </w:rPr>
            </w:pPr>
          </w:p>
          <w:p w:rsidR="00297706" w:rsidRPr="00297706" w:rsidRDefault="00297706" w:rsidP="00EA3ABC">
            <w:pPr>
              <w:spacing w:after="120" w:line="270" w:lineRule="atLeast"/>
              <w:jc w:val="both"/>
              <w:rPr>
                <w:rFonts w:ascii="Arial" w:hAnsi="Arial" w:cs="Arial"/>
                <w:b/>
                <w:bCs/>
              </w:rPr>
            </w:pPr>
          </w:p>
          <w:p w:rsidR="00297706" w:rsidRPr="00297706" w:rsidRDefault="00297706" w:rsidP="00EA3ABC">
            <w:pPr>
              <w:spacing w:after="120" w:line="270" w:lineRule="atLeast"/>
              <w:jc w:val="both"/>
              <w:rPr>
                <w:rFonts w:ascii="Arial" w:hAnsi="Arial" w:cs="Arial"/>
                <w:b/>
                <w:bCs/>
              </w:rPr>
            </w:pPr>
          </w:p>
          <w:p w:rsidR="00297706" w:rsidRPr="00297706" w:rsidRDefault="00297706" w:rsidP="00EA3ABC">
            <w:pPr>
              <w:spacing w:after="120" w:line="270" w:lineRule="atLeast"/>
              <w:jc w:val="both"/>
              <w:rPr>
                <w:rFonts w:ascii="Arial" w:hAnsi="Arial" w:cs="Arial"/>
                <w:b/>
                <w:bCs/>
              </w:rPr>
            </w:pPr>
          </w:p>
          <w:p w:rsidR="00297706" w:rsidRPr="00297706" w:rsidRDefault="00297706" w:rsidP="00EA3ABC">
            <w:pPr>
              <w:spacing w:after="120" w:line="270" w:lineRule="atLeast"/>
              <w:jc w:val="both"/>
              <w:rPr>
                <w:rFonts w:ascii="Arial" w:hAnsi="Arial" w:cs="Arial"/>
                <w:b/>
                <w:bCs/>
              </w:rPr>
            </w:pPr>
          </w:p>
          <w:p w:rsidR="00297706" w:rsidRPr="00297706" w:rsidRDefault="00297706" w:rsidP="00EA3ABC">
            <w:pPr>
              <w:spacing w:after="120" w:line="270" w:lineRule="atLeast"/>
              <w:jc w:val="both"/>
              <w:rPr>
                <w:rFonts w:ascii="Arial" w:hAnsi="Arial" w:cs="Arial"/>
                <w:b/>
                <w:bCs/>
              </w:rPr>
            </w:pPr>
          </w:p>
          <w:p w:rsidR="00D22873" w:rsidRPr="00297706" w:rsidRDefault="00D22873" w:rsidP="00EA3ABC">
            <w:pPr>
              <w:spacing w:after="120" w:line="270" w:lineRule="atLeast"/>
              <w:jc w:val="both"/>
              <w:rPr>
                <w:rFonts w:ascii="Arial" w:eastAsia="Times New Roman" w:hAnsi="Arial" w:cs="Arial"/>
                <w:bCs/>
                <w:color w:val="000000"/>
                <w:lang w:eastAsia="en-GB"/>
              </w:rPr>
            </w:pPr>
            <w:r w:rsidRPr="00297706">
              <w:rPr>
                <w:rFonts w:ascii="Arial" w:hAnsi="Arial" w:cs="Arial"/>
                <w:b/>
                <w:bCs/>
              </w:rPr>
              <w:t xml:space="preserve">Table 3 – </w:t>
            </w:r>
            <w:r w:rsidRPr="00297706">
              <w:rPr>
                <w:rFonts w:ascii="Arial" w:eastAsia="Times New Roman" w:hAnsi="Arial" w:cs="Arial"/>
                <w:bCs/>
                <w:color w:val="000000"/>
                <w:lang w:eastAsia="en-GB"/>
              </w:rPr>
              <w:t>Number of ECO brokerage auctions</w:t>
            </w:r>
            <w:r w:rsidRPr="00297706">
              <w:rPr>
                <w:rFonts w:ascii="Arial" w:eastAsia="Times New Roman" w:hAnsi="Arial" w:cs="Arial"/>
                <w:bCs/>
                <w:color w:val="000000"/>
                <w:vertAlign w:val="superscript"/>
                <w:lang w:eastAsia="en-GB"/>
              </w:rPr>
              <w:t>1</w:t>
            </w:r>
            <w:r w:rsidRPr="00297706">
              <w:rPr>
                <w:rFonts w:ascii="Arial" w:eastAsia="Times New Roman" w:hAnsi="Arial" w:cs="Arial"/>
                <w:bCs/>
                <w:color w:val="000000"/>
                <w:lang w:eastAsia="en-GB"/>
              </w:rPr>
              <w:t xml:space="preserve"> and total amount traded</w:t>
            </w:r>
          </w:p>
          <w:p w:rsidR="00D22873" w:rsidRPr="00297706" w:rsidRDefault="00D22873" w:rsidP="00EA3ABC">
            <w:pPr>
              <w:spacing w:after="0" w:line="270" w:lineRule="atLeast"/>
              <w:jc w:val="both"/>
              <w:rPr>
                <w:rFonts w:ascii="Arial" w:eastAsia="Times New Roman" w:hAnsi="Arial" w:cs="Arial"/>
                <w:color w:val="000000"/>
                <w:lang w:eastAsia="en-GB"/>
              </w:rPr>
            </w:pPr>
          </w:p>
        </w:tc>
      </w:tr>
      <w:tr w:rsidR="00D22873" w:rsidRPr="00B42A34" w:rsidTr="006345B5">
        <w:trPr>
          <w:gridAfter w:val="4"/>
          <w:wAfter w:w="1418" w:type="dxa"/>
          <w:trHeight w:val="510"/>
        </w:trPr>
        <w:tc>
          <w:tcPr>
            <w:tcW w:w="2620" w:type="dxa"/>
            <w:tcBorders>
              <w:top w:val="single" w:sz="4" w:space="0" w:color="auto"/>
              <w:left w:val="nil"/>
              <w:bottom w:val="single" w:sz="4" w:space="0" w:color="auto"/>
              <w:right w:val="nil"/>
            </w:tcBorders>
            <w:shd w:val="clear" w:color="auto" w:fill="auto"/>
            <w:noWrap/>
            <w:vAlign w:val="center"/>
            <w:hideMark/>
          </w:tcPr>
          <w:p w:rsidR="00D22873" w:rsidRPr="00297706" w:rsidRDefault="00D22873"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lastRenderedPageBreak/>
              <w:t>Month</w:t>
            </w:r>
          </w:p>
        </w:tc>
        <w:tc>
          <w:tcPr>
            <w:tcW w:w="1440" w:type="dxa"/>
            <w:gridSpan w:val="3"/>
            <w:tcBorders>
              <w:top w:val="single" w:sz="4" w:space="0" w:color="auto"/>
              <w:left w:val="nil"/>
              <w:bottom w:val="single" w:sz="4" w:space="0" w:color="auto"/>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 </w:t>
            </w:r>
          </w:p>
        </w:tc>
        <w:tc>
          <w:tcPr>
            <w:tcW w:w="1440" w:type="dxa"/>
            <w:tcBorders>
              <w:top w:val="single" w:sz="4" w:space="0" w:color="auto"/>
              <w:left w:val="nil"/>
              <w:bottom w:val="single" w:sz="4" w:space="0" w:color="auto"/>
              <w:right w:val="nil"/>
            </w:tcBorders>
            <w:shd w:val="clear" w:color="auto" w:fill="auto"/>
            <w:vAlign w:val="bottom"/>
            <w:hideMark/>
          </w:tcPr>
          <w:p w:rsidR="00D22873" w:rsidRPr="00297706" w:rsidRDefault="00D22873" w:rsidP="00FC7315">
            <w:pPr>
              <w:spacing w:after="0" w:line="270" w:lineRule="atLeast"/>
              <w:jc w:val="center"/>
              <w:rPr>
                <w:rFonts w:ascii="Arial" w:eastAsia="Times New Roman" w:hAnsi="Arial" w:cs="Arial"/>
                <w:color w:val="000000"/>
                <w:lang w:eastAsia="en-GB"/>
              </w:rPr>
            </w:pPr>
            <w:r w:rsidRPr="00297706">
              <w:rPr>
                <w:rFonts w:ascii="Arial" w:eastAsia="Times New Roman" w:hAnsi="Arial" w:cs="Arial"/>
                <w:color w:val="000000"/>
                <w:lang w:eastAsia="en-GB"/>
              </w:rPr>
              <w:t>Number of auctions</w:t>
            </w:r>
          </w:p>
        </w:tc>
        <w:tc>
          <w:tcPr>
            <w:tcW w:w="2452" w:type="dxa"/>
            <w:gridSpan w:val="4"/>
            <w:tcBorders>
              <w:top w:val="single" w:sz="4" w:space="0" w:color="auto"/>
              <w:left w:val="nil"/>
              <w:bottom w:val="single" w:sz="4" w:space="0" w:color="auto"/>
              <w:right w:val="nil"/>
            </w:tcBorders>
            <w:shd w:val="clear" w:color="auto" w:fill="auto"/>
            <w:vAlign w:val="bottom"/>
            <w:hideMark/>
          </w:tcPr>
          <w:p w:rsidR="00D22873" w:rsidRPr="00297706" w:rsidRDefault="00D22873" w:rsidP="00FC7315">
            <w:pPr>
              <w:spacing w:after="0" w:line="270" w:lineRule="atLeast"/>
              <w:jc w:val="center"/>
              <w:rPr>
                <w:rFonts w:ascii="Arial" w:eastAsia="Times New Roman" w:hAnsi="Arial" w:cs="Arial"/>
                <w:color w:val="000000"/>
                <w:lang w:eastAsia="en-GB"/>
              </w:rPr>
            </w:pPr>
            <w:r w:rsidRPr="00297706">
              <w:rPr>
                <w:rFonts w:ascii="Arial" w:eastAsia="Times New Roman" w:hAnsi="Arial" w:cs="Arial"/>
                <w:color w:val="000000"/>
                <w:lang w:eastAsia="en-GB"/>
              </w:rPr>
              <w:t>Total amount traded</w:t>
            </w:r>
          </w:p>
        </w:tc>
      </w:tr>
      <w:tr w:rsidR="00D22873" w:rsidRPr="00B42A34" w:rsidTr="006345B5">
        <w:trPr>
          <w:gridAfter w:val="4"/>
          <w:wAfter w:w="1418" w:type="dxa"/>
          <w:trHeight w:val="255"/>
        </w:trPr>
        <w:tc>
          <w:tcPr>
            <w:tcW w:w="2620" w:type="dxa"/>
            <w:tcBorders>
              <w:top w:val="nil"/>
              <w:left w:val="nil"/>
              <w:bottom w:val="nil"/>
              <w:right w:val="nil"/>
            </w:tcBorders>
            <w:shd w:val="clear" w:color="000000" w:fill="FFFFFF"/>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 </w:t>
            </w:r>
          </w:p>
        </w:tc>
        <w:tc>
          <w:tcPr>
            <w:tcW w:w="1440" w:type="dxa"/>
            <w:gridSpan w:val="3"/>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2452" w:type="dxa"/>
            <w:gridSpan w:val="4"/>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r>
      <w:tr w:rsidR="00D22873" w:rsidRPr="00B42A34" w:rsidTr="006345B5">
        <w:trPr>
          <w:gridAfter w:val="4"/>
          <w:wAfter w:w="1418" w:type="dxa"/>
          <w:trHeight w:val="255"/>
        </w:trPr>
        <w:tc>
          <w:tcPr>
            <w:tcW w:w="2620" w:type="dxa"/>
            <w:tcBorders>
              <w:top w:val="nil"/>
              <w:left w:val="nil"/>
              <w:bottom w:val="nil"/>
              <w:right w:val="nil"/>
            </w:tcBorders>
            <w:shd w:val="clear" w:color="000000" w:fill="FFFFFF"/>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January 2013</w:t>
            </w:r>
          </w:p>
        </w:tc>
        <w:tc>
          <w:tcPr>
            <w:tcW w:w="1440" w:type="dxa"/>
            <w:gridSpan w:val="3"/>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2</w:t>
            </w:r>
          </w:p>
        </w:tc>
        <w:tc>
          <w:tcPr>
            <w:tcW w:w="2452" w:type="dxa"/>
            <w:gridSpan w:val="4"/>
            <w:tcBorders>
              <w:top w:val="nil"/>
              <w:left w:val="nil"/>
              <w:bottom w:val="nil"/>
              <w:right w:val="nil"/>
            </w:tcBorders>
            <w:shd w:val="clear" w:color="000000" w:fill="FFFFFF"/>
            <w:noWrap/>
            <w:vAlign w:val="center"/>
            <w:hideMark/>
          </w:tcPr>
          <w:p w:rsidR="00D22873" w:rsidRPr="00297706" w:rsidRDefault="00D22873" w:rsidP="00FC7315">
            <w:pPr>
              <w:spacing w:after="0" w:line="270" w:lineRule="atLeast"/>
              <w:jc w:val="right"/>
              <w:rPr>
                <w:rFonts w:ascii="Arial" w:eastAsia="Times New Roman" w:hAnsi="Arial" w:cs="Arial"/>
                <w:lang w:eastAsia="en-GB"/>
              </w:rPr>
            </w:pPr>
            <w:r w:rsidRPr="00297706">
              <w:rPr>
                <w:rFonts w:ascii="Arial" w:eastAsia="Times New Roman" w:hAnsi="Arial" w:cs="Arial"/>
                <w:lang w:eastAsia="en-GB"/>
              </w:rPr>
              <w:t>£9.5m</w:t>
            </w:r>
          </w:p>
        </w:tc>
      </w:tr>
      <w:tr w:rsidR="00D22873" w:rsidRPr="00B42A34" w:rsidTr="006345B5">
        <w:trPr>
          <w:gridAfter w:val="4"/>
          <w:wAfter w:w="1418" w:type="dxa"/>
          <w:trHeight w:val="255"/>
        </w:trPr>
        <w:tc>
          <w:tcPr>
            <w:tcW w:w="2620" w:type="dxa"/>
            <w:tcBorders>
              <w:top w:val="nil"/>
              <w:left w:val="nil"/>
              <w:bottom w:val="nil"/>
              <w:right w:val="nil"/>
            </w:tcBorders>
            <w:shd w:val="clear" w:color="000000" w:fill="FFFFFF"/>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February 2013</w:t>
            </w:r>
          </w:p>
        </w:tc>
        <w:tc>
          <w:tcPr>
            <w:tcW w:w="1440" w:type="dxa"/>
            <w:gridSpan w:val="3"/>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2</w:t>
            </w:r>
          </w:p>
        </w:tc>
        <w:tc>
          <w:tcPr>
            <w:tcW w:w="2452" w:type="dxa"/>
            <w:gridSpan w:val="4"/>
            <w:tcBorders>
              <w:top w:val="nil"/>
              <w:left w:val="nil"/>
              <w:bottom w:val="nil"/>
              <w:right w:val="nil"/>
            </w:tcBorders>
            <w:shd w:val="clear" w:color="000000" w:fill="FFFFFF"/>
            <w:noWrap/>
            <w:vAlign w:val="center"/>
            <w:hideMark/>
          </w:tcPr>
          <w:p w:rsidR="00D22873" w:rsidRPr="00297706" w:rsidRDefault="00D22873" w:rsidP="00FC7315">
            <w:pPr>
              <w:spacing w:after="0" w:line="270" w:lineRule="atLeast"/>
              <w:jc w:val="right"/>
              <w:rPr>
                <w:rFonts w:ascii="Arial" w:eastAsia="Times New Roman" w:hAnsi="Arial" w:cs="Arial"/>
                <w:lang w:eastAsia="en-GB"/>
              </w:rPr>
            </w:pPr>
            <w:r w:rsidRPr="00297706">
              <w:rPr>
                <w:rFonts w:ascii="Arial" w:eastAsia="Times New Roman" w:hAnsi="Arial" w:cs="Arial"/>
                <w:lang w:eastAsia="en-GB"/>
              </w:rPr>
              <w:t>£17.4m</w:t>
            </w:r>
          </w:p>
        </w:tc>
      </w:tr>
      <w:tr w:rsidR="00D22873" w:rsidRPr="00B42A34" w:rsidTr="006345B5">
        <w:trPr>
          <w:gridAfter w:val="4"/>
          <w:wAfter w:w="1418" w:type="dxa"/>
          <w:trHeight w:val="255"/>
        </w:trPr>
        <w:tc>
          <w:tcPr>
            <w:tcW w:w="2620" w:type="dxa"/>
            <w:tcBorders>
              <w:top w:val="nil"/>
              <w:left w:val="nil"/>
              <w:bottom w:val="nil"/>
              <w:right w:val="nil"/>
            </w:tcBorders>
            <w:shd w:val="clear" w:color="000000" w:fill="FFFFFF"/>
            <w:noWrap/>
            <w:vAlign w:val="bottom"/>
            <w:hideMark/>
          </w:tcPr>
          <w:p w:rsidR="00D22873" w:rsidRPr="00297706" w:rsidRDefault="00D22873" w:rsidP="00491E9F">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March 2013</w:t>
            </w:r>
          </w:p>
        </w:tc>
        <w:tc>
          <w:tcPr>
            <w:tcW w:w="1440" w:type="dxa"/>
            <w:gridSpan w:val="3"/>
            <w:tcBorders>
              <w:top w:val="nil"/>
              <w:left w:val="nil"/>
              <w:bottom w:val="nil"/>
              <w:right w:val="nil"/>
            </w:tcBorders>
            <w:shd w:val="clear" w:color="auto" w:fill="auto"/>
            <w:noWrap/>
            <w:vAlign w:val="bottom"/>
            <w:hideMark/>
          </w:tcPr>
          <w:p w:rsidR="00D22873" w:rsidRPr="00297706" w:rsidRDefault="00D22873" w:rsidP="00491E9F">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D22873" w:rsidRPr="00297706" w:rsidRDefault="00D22873" w:rsidP="00491E9F">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2</w:t>
            </w:r>
          </w:p>
        </w:tc>
        <w:tc>
          <w:tcPr>
            <w:tcW w:w="2452" w:type="dxa"/>
            <w:gridSpan w:val="4"/>
            <w:tcBorders>
              <w:top w:val="nil"/>
              <w:left w:val="nil"/>
              <w:bottom w:val="nil"/>
              <w:right w:val="nil"/>
            </w:tcBorders>
            <w:shd w:val="clear" w:color="000000" w:fill="FFFFFF"/>
            <w:noWrap/>
            <w:vAlign w:val="center"/>
            <w:hideMark/>
          </w:tcPr>
          <w:p w:rsidR="00D22873" w:rsidRPr="00297706" w:rsidRDefault="00D22873" w:rsidP="00491E9F">
            <w:pPr>
              <w:spacing w:after="0" w:line="270" w:lineRule="atLeast"/>
              <w:jc w:val="right"/>
              <w:rPr>
                <w:rFonts w:ascii="Arial" w:eastAsia="Times New Roman" w:hAnsi="Arial" w:cs="Arial"/>
                <w:lang w:eastAsia="en-GB"/>
              </w:rPr>
            </w:pPr>
            <w:r w:rsidRPr="00297706">
              <w:rPr>
                <w:rFonts w:ascii="Arial" w:eastAsia="Times New Roman" w:hAnsi="Arial" w:cs="Arial"/>
                <w:lang w:eastAsia="en-GB"/>
              </w:rPr>
              <w:t>£42.0m</w:t>
            </w:r>
          </w:p>
        </w:tc>
      </w:tr>
      <w:tr w:rsidR="00297706" w:rsidRPr="00B42A34" w:rsidTr="006345B5">
        <w:trPr>
          <w:gridAfter w:val="4"/>
          <w:wAfter w:w="1418" w:type="dxa"/>
          <w:trHeight w:val="255"/>
        </w:trPr>
        <w:tc>
          <w:tcPr>
            <w:tcW w:w="2620" w:type="dxa"/>
            <w:tcBorders>
              <w:top w:val="nil"/>
              <w:left w:val="nil"/>
              <w:bottom w:val="nil"/>
              <w:right w:val="nil"/>
            </w:tcBorders>
            <w:shd w:val="clear" w:color="000000" w:fill="FFFFFF"/>
            <w:noWrap/>
            <w:vAlign w:val="bottom"/>
            <w:hideMark/>
          </w:tcPr>
          <w:p w:rsidR="00297706" w:rsidRPr="00297706" w:rsidRDefault="00297706" w:rsidP="00491E9F">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April 2013</w:t>
            </w:r>
          </w:p>
        </w:tc>
        <w:tc>
          <w:tcPr>
            <w:tcW w:w="1440" w:type="dxa"/>
            <w:gridSpan w:val="3"/>
            <w:tcBorders>
              <w:top w:val="nil"/>
              <w:left w:val="nil"/>
              <w:bottom w:val="nil"/>
              <w:right w:val="nil"/>
            </w:tcBorders>
            <w:shd w:val="clear" w:color="auto" w:fill="auto"/>
            <w:noWrap/>
            <w:vAlign w:val="bottom"/>
            <w:hideMark/>
          </w:tcPr>
          <w:p w:rsidR="00297706" w:rsidRPr="00297706" w:rsidRDefault="00297706" w:rsidP="00491E9F">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297706" w:rsidRPr="00297706" w:rsidRDefault="00297706" w:rsidP="00491E9F">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2</w:t>
            </w:r>
          </w:p>
        </w:tc>
        <w:tc>
          <w:tcPr>
            <w:tcW w:w="2452" w:type="dxa"/>
            <w:gridSpan w:val="4"/>
            <w:tcBorders>
              <w:top w:val="nil"/>
              <w:left w:val="nil"/>
              <w:bottom w:val="nil"/>
              <w:right w:val="nil"/>
            </w:tcBorders>
            <w:shd w:val="clear" w:color="000000" w:fill="FFFFFF"/>
            <w:noWrap/>
            <w:vAlign w:val="center"/>
            <w:hideMark/>
          </w:tcPr>
          <w:p w:rsidR="00297706" w:rsidRPr="00297706" w:rsidRDefault="00297706" w:rsidP="00491E9F">
            <w:pPr>
              <w:spacing w:after="0" w:line="270" w:lineRule="atLeast"/>
              <w:jc w:val="right"/>
              <w:rPr>
                <w:rFonts w:ascii="Arial" w:eastAsia="Times New Roman" w:hAnsi="Arial" w:cs="Arial"/>
                <w:lang w:eastAsia="en-GB"/>
              </w:rPr>
            </w:pPr>
            <w:r w:rsidRPr="00297706">
              <w:rPr>
                <w:rFonts w:ascii="Arial" w:eastAsia="Times New Roman" w:hAnsi="Arial" w:cs="Arial"/>
                <w:lang w:eastAsia="en-GB"/>
              </w:rPr>
              <w:t>£16.6m</w:t>
            </w:r>
          </w:p>
        </w:tc>
      </w:tr>
      <w:tr w:rsidR="00D22873" w:rsidRPr="00B42A34" w:rsidTr="006345B5">
        <w:trPr>
          <w:gridAfter w:val="4"/>
          <w:wAfter w:w="1418" w:type="dxa"/>
          <w:trHeight w:val="255"/>
        </w:trPr>
        <w:tc>
          <w:tcPr>
            <w:tcW w:w="2620" w:type="dxa"/>
            <w:tcBorders>
              <w:top w:val="nil"/>
              <w:left w:val="nil"/>
              <w:bottom w:val="nil"/>
              <w:right w:val="nil"/>
            </w:tcBorders>
            <w:shd w:val="clear" w:color="000000" w:fill="FFFFFF"/>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 </w:t>
            </w:r>
          </w:p>
        </w:tc>
        <w:tc>
          <w:tcPr>
            <w:tcW w:w="1440" w:type="dxa"/>
            <w:gridSpan w:val="3"/>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2452" w:type="dxa"/>
            <w:gridSpan w:val="4"/>
            <w:tcBorders>
              <w:top w:val="nil"/>
              <w:left w:val="nil"/>
              <w:bottom w:val="nil"/>
              <w:right w:val="nil"/>
            </w:tcBorders>
            <w:shd w:val="clear" w:color="000000" w:fill="FFFFFF"/>
            <w:noWrap/>
            <w:vAlign w:val="center"/>
            <w:hideMark/>
          </w:tcPr>
          <w:p w:rsidR="00D22873" w:rsidRPr="00297706" w:rsidRDefault="00D22873" w:rsidP="00FC7315">
            <w:pPr>
              <w:spacing w:after="0" w:line="270" w:lineRule="atLeast"/>
              <w:jc w:val="right"/>
              <w:rPr>
                <w:rFonts w:ascii="Arial" w:eastAsia="Times New Roman" w:hAnsi="Arial" w:cs="Arial"/>
                <w:lang w:eastAsia="en-GB"/>
              </w:rPr>
            </w:pPr>
            <w:r w:rsidRPr="00297706">
              <w:rPr>
                <w:rFonts w:ascii="Arial" w:eastAsia="Times New Roman" w:hAnsi="Arial" w:cs="Arial"/>
                <w:lang w:eastAsia="en-GB"/>
              </w:rPr>
              <w:t> </w:t>
            </w:r>
          </w:p>
        </w:tc>
      </w:tr>
      <w:tr w:rsidR="00D22873" w:rsidRPr="00B42A34" w:rsidTr="006345B5">
        <w:trPr>
          <w:gridAfter w:val="4"/>
          <w:wAfter w:w="1418" w:type="dxa"/>
          <w:trHeight w:val="255"/>
        </w:trPr>
        <w:tc>
          <w:tcPr>
            <w:tcW w:w="2620" w:type="dxa"/>
            <w:tcBorders>
              <w:top w:val="nil"/>
              <w:left w:val="nil"/>
              <w:bottom w:val="single" w:sz="4" w:space="0" w:color="auto"/>
              <w:right w:val="nil"/>
            </w:tcBorders>
            <w:shd w:val="clear" w:color="000000" w:fill="FFFFFF"/>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Total to date</w:t>
            </w:r>
          </w:p>
        </w:tc>
        <w:tc>
          <w:tcPr>
            <w:tcW w:w="1440" w:type="dxa"/>
            <w:gridSpan w:val="3"/>
            <w:tcBorders>
              <w:top w:val="nil"/>
              <w:left w:val="nil"/>
              <w:bottom w:val="single" w:sz="4" w:space="0" w:color="auto"/>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lang w:eastAsia="en-GB"/>
              </w:rPr>
              <w:t> </w:t>
            </w:r>
          </w:p>
        </w:tc>
        <w:tc>
          <w:tcPr>
            <w:tcW w:w="1440" w:type="dxa"/>
            <w:tcBorders>
              <w:top w:val="nil"/>
              <w:left w:val="nil"/>
              <w:bottom w:val="single" w:sz="4" w:space="0" w:color="auto"/>
              <w:right w:val="nil"/>
            </w:tcBorders>
            <w:shd w:val="clear" w:color="auto" w:fill="auto"/>
            <w:noWrap/>
            <w:vAlign w:val="bottom"/>
            <w:hideMark/>
          </w:tcPr>
          <w:p w:rsidR="00D22873" w:rsidRPr="00297706" w:rsidRDefault="00297706" w:rsidP="00FC7315">
            <w:pPr>
              <w:spacing w:after="0" w:line="270" w:lineRule="atLeast"/>
              <w:jc w:val="right"/>
              <w:rPr>
                <w:rFonts w:ascii="Arial" w:eastAsia="Times New Roman" w:hAnsi="Arial" w:cs="Arial"/>
                <w:color w:val="000000"/>
                <w:lang w:eastAsia="en-GB"/>
              </w:rPr>
            </w:pPr>
            <w:r w:rsidRPr="00297706">
              <w:rPr>
                <w:rFonts w:ascii="Arial" w:eastAsia="Times New Roman" w:hAnsi="Arial" w:cs="Arial"/>
                <w:color w:val="000000"/>
                <w:lang w:eastAsia="en-GB"/>
              </w:rPr>
              <w:t>8</w:t>
            </w:r>
          </w:p>
        </w:tc>
        <w:tc>
          <w:tcPr>
            <w:tcW w:w="2452" w:type="dxa"/>
            <w:gridSpan w:val="4"/>
            <w:tcBorders>
              <w:top w:val="nil"/>
              <w:left w:val="nil"/>
              <w:bottom w:val="single" w:sz="4" w:space="0" w:color="auto"/>
              <w:right w:val="nil"/>
            </w:tcBorders>
            <w:shd w:val="clear" w:color="000000" w:fill="FFFFFF"/>
            <w:noWrap/>
            <w:vAlign w:val="center"/>
            <w:hideMark/>
          </w:tcPr>
          <w:p w:rsidR="00D22873" w:rsidRPr="00297706" w:rsidRDefault="00297706" w:rsidP="00FC7315">
            <w:pPr>
              <w:spacing w:after="0" w:line="270" w:lineRule="atLeast"/>
              <w:jc w:val="right"/>
              <w:rPr>
                <w:rFonts w:ascii="Arial" w:eastAsia="Times New Roman" w:hAnsi="Arial" w:cs="Arial"/>
                <w:lang w:eastAsia="en-GB"/>
              </w:rPr>
            </w:pPr>
            <w:r w:rsidRPr="00297706">
              <w:rPr>
                <w:rFonts w:ascii="Arial" w:eastAsia="Times New Roman" w:hAnsi="Arial" w:cs="Arial"/>
                <w:lang w:eastAsia="en-GB"/>
              </w:rPr>
              <w:t>£85.5</w:t>
            </w:r>
            <w:r w:rsidR="00D22873" w:rsidRPr="00297706">
              <w:rPr>
                <w:rFonts w:ascii="Arial" w:eastAsia="Times New Roman" w:hAnsi="Arial" w:cs="Arial"/>
                <w:lang w:eastAsia="en-GB"/>
              </w:rPr>
              <w:t>m</w:t>
            </w:r>
          </w:p>
        </w:tc>
      </w:tr>
      <w:tr w:rsidR="00D22873" w:rsidRPr="00B42A34" w:rsidTr="006345B5">
        <w:trPr>
          <w:gridAfter w:val="4"/>
          <w:wAfter w:w="1418" w:type="dxa"/>
          <w:trHeight w:val="75"/>
        </w:trPr>
        <w:tc>
          <w:tcPr>
            <w:tcW w:w="2620" w:type="dxa"/>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1440" w:type="dxa"/>
            <w:gridSpan w:val="3"/>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1440" w:type="dxa"/>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c>
          <w:tcPr>
            <w:tcW w:w="2452" w:type="dxa"/>
            <w:gridSpan w:val="4"/>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p>
        </w:tc>
      </w:tr>
      <w:tr w:rsidR="00D22873" w:rsidRPr="00B42A34" w:rsidTr="006345B5">
        <w:trPr>
          <w:gridAfter w:val="4"/>
          <w:wAfter w:w="1418" w:type="dxa"/>
          <w:trHeight w:val="285"/>
        </w:trPr>
        <w:tc>
          <w:tcPr>
            <w:tcW w:w="7952" w:type="dxa"/>
            <w:gridSpan w:val="9"/>
            <w:tcBorders>
              <w:top w:val="nil"/>
              <w:left w:val="nil"/>
              <w:bottom w:val="nil"/>
              <w:right w:val="nil"/>
            </w:tcBorders>
            <w:shd w:val="clear" w:color="auto" w:fill="auto"/>
            <w:noWrap/>
            <w:vAlign w:val="bottom"/>
            <w:hideMark/>
          </w:tcPr>
          <w:p w:rsidR="00D22873" w:rsidRPr="00297706" w:rsidRDefault="00D22873" w:rsidP="00FC7315">
            <w:pPr>
              <w:spacing w:after="0" w:line="270" w:lineRule="atLeast"/>
              <w:rPr>
                <w:rFonts w:ascii="Arial" w:eastAsia="Times New Roman" w:hAnsi="Arial" w:cs="Arial"/>
                <w:color w:val="000000"/>
                <w:lang w:eastAsia="en-GB"/>
              </w:rPr>
            </w:pPr>
            <w:r w:rsidRPr="00297706">
              <w:rPr>
                <w:rFonts w:ascii="Arial" w:eastAsia="Times New Roman" w:hAnsi="Arial" w:cs="Arial"/>
                <w:color w:val="000000"/>
                <w:vertAlign w:val="superscript"/>
                <w:lang w:eastAsia="en-GB"/>
              </w:rPr>
              <w:t>1</w:t>
            </w:r>
            <w:r w:rsidRPr="00297706">
              <w:rPr>
                <w:rFonts w:ascii="Arial" w:eastAsia="Times New Roman" w:hAnsi="Arial" w:cs="Arial"/>
                <w:color w:val="000000"/>
                <w:lang w:eastAsia="en-GB"/>
              </w:rPr>
              <w:t xml:space="preserve"> ECO brokerage auctions are scheduled to take place on a fortnightly basis.</w:t>
            </w:r>
          </w:p>
        </w:tc>
      </w:tr>
    </w:tbl>
    <w:p w:rsidR="00C9240A" w:rsidRPr="00B35684" w:rsidRDefault="00242766" w:rsidP="00FC7315">
      <w:pPr>
        <w:spacing w:after="120" w:line="270" w:lineRule="atLeast"/>
        <w:rPr>
          <w:rFonts w:ascii="Arial" w:hAnsi="Arial" w:cs="Arial"/>
          <w:b/>
        </w:rPr>
      </w:pPr>
      <w:r w:rsidRPr="00B42A34">
        <w:rPr>
          <w:rFonts w:ascii="Arial" w:hAnsi="Arial" w:cs="Arial"/>
          <w:b/>
          <w:bCs/>
          <w:highlight w:val="yellow"/>
        </w:rPr>
        <w:br w:type="page"/>
      </w:r>
      <w:r w:rsidR="00C9240A" w:rsidRPr="00B35684">
        <w:rPr>
          <w:rFonts w:ascii="Arial" w:hAnsi="Arial" w:cs="Arial"/>
          <w:b/>
          <w:bCs/>
        </w:rPr>
        <w:lastRenderedPageBreak/>
        <w:t xml:space="preserve">Annex B </w:t>
      </w:r>
      <w:r w:rsidR="00FC7315" w:rsidRPr="00B35684">
        <w:rPr>
          <w:rFonts w:ascii="Arial" w:hAnsi="Arial" w:cs="Arial"/>
          <w:b/>
          <w:bCs/>
        </w:rPr>
        <w:t>–</w:t>
      </w:r>
      <w:r w:rsidR="00C9240A" w:rsidRPr="00B35684">
        <w:rPr>
          <w:rFonts w:ascii="Arial" w:hAnsi="Arial" w:cs="Arial"/>
          <w:b/>
          <w:bCs/>
        </w:rPr>
        <w:t xml:space="preserve"> </w:t>
      </w:r>
      <w:r w:rsidR="009268A2" w:rsidRPr="00B35684">
        <w:rPr>
          <w:rFonts w:ascii="Arial" w:hAnsi="Arial" w:cs="Arial"/>
          <w:b/>
        </w:rPr>
        <w:t>Sources and M</w:t>
      </w:r>
      <w:r w:rsidR="00C9240A" w:rsidRPr="00B35684">
        <w:rPr>
          <w:rFonts w:ascii="Arial" w:hAnsi="Arial" w:cs="Arial"/>
          <w:b/>
        </w:rPr>
        <w:t>ethodology</w:t>
      </w:r>
    </w:p>
    <w:p w:rsidR="00FC7315" w:rsidRPr="00B35684" w:rsidRDefault="00FC7315" w:rsidP="00FC7315">
      <w:pPr>
        <w:spacing w:after="120" w:line="270" w:lineRule="atLeast"/>
        <w:rPr>
          <w:rFonts w:ascii="Arial" w:hAnsi="Arial" w:cs="Arial"/>
          <w:b/>
          <w:bCs/>
        </w:rPr>
      </w:pPr>
    </w:p>
    <w:p w:rsidR="00C9240A" w:rsidRPr="00B35684" w:rsidRDefault="00C9240A" w:rsidP="00FC7315">
      <w:pPr>
        <w:spacing w:after="120" w:line="270" w:lineRule="atLeast"/>
        <w:jc w:val="both"/>
        <w:rPr>
          <w:rFonts w:ascii="Arial" w:hAnsi="Arial" w:cs="Arial"/>
        </w:rPr>
      </w:pPr>
      <w:r w:rsidRPr="00B35684">
        <w:rPr>
          <w:rFonts w:ascii="Arial" w:hAnsi="Arial" w:cs="Arial"/>
        </w:rPr>
        <w:t xml:space="preserve">The estimates in this and future Statistical Release use administrative data generated as part of the Green Deal and Energy Company Obligation processes. </w:t>
      </w:r>
    </w:p>
    <w:p w:rsidR="00C9240A" w:rsidRPr="00B35684" w:rsidRDefault="00C9240A" w:rsidP="00FC7315">
      <w:pPr>
        <w:spacing w:after="120" w:line="270" w:lineRule="atLeast"/>
        <w:jc w:val="both"/>
        <w:rPr>
          <w:rFonts w:ascii="Arial" w:hAnsi="Arial" w:cs="Arial"/>
        </w:rPr>
      </w:pPr>
      <w:bookmarkStart w:id="23" w:name="OLE_LINK11"/>
      <w:r w:rsidRPr="00B35684">
        <w:rPr>
          <w:rFonts w:ascii="Arial" w:hAnsi="Arial" w:cs="Arial"/>
        </w:rPr>
        <w:t xml:space="preserve">There are seven main sources of information: </w:t>
      </w:r>
    </w:p>
    <w:p w:rsidR="00C9240A" w:rsidRPr="00B35684" w:rsidRDefault="00C9240A" w:rsidP="00FC7315">
      <w:pPr>
        <w:numPr>
          <w:ilvl w:val="0"/>
          <w:numId w:val="29"/>
        </w:numPr>
        <w:spacing w:after="120" w:line="270" w:lineRule="atLeast"/>
        <w:jc w:val="both"/>
        <w:rPr>
          <w:rFonts w:ascii="Arial" w:hAnsi="Arial" w:cs="Arial"/>
        </w:rPr>
      </w:pPr>
      <w:r w:rsidRPr="00B35684">
        <w:rPr>
          <w:rFonts w:ascii="Arial" w:hAnsi="Arial" w:cs="Arial"/>
        </w:rPr>
        <w:t xml:space="preserve">Landmark – who manage the national lodgement of Green Deal Assessments in England and Wales </w:t>
      </w:r>
    </w:p>
    <w:p w:rsidR="00C9240A" w:rsidRPr="00B35684" w:rsidRDefault="00C9240A" w:rsidP="00FC7315">
      <w:pPr>
        <w:numPr>
          <w:ilvl w:val="0"/>
          <w:numId w:val="29"/>
        </w:numPr>
        <w:spacing w:after="120" w:line="270" w:lineRule="atLeast"/>
        <w:jc w:val="both"/>
        <w:rPr>
          <w:rFonts w:ascii="Arial" w:hAnsi="Arial" w:cs="Arial"/>
        </w:rPr>
      </w:pPr>
      <w:r w:rsidRPr="00B35684">
        <w:rPr>
          <w:rFonts w:ascii="Arial" w:hAnsi="Arial" w:cs="Arial"/>
        </w:rPr>
        <w:t>Energy Savings Trust (EST) – who manage the national lodgement of Green Deal Assessments in Scotland</w:t>
      </w:r>
    </w:p>
    <w:p w:rsidR="00C9240A" w:rsidRPr="00B35684" w:rsidRDefault="00C9240A" w:rsidP="00FC7315">
      <w:pPr>
        <w:numPr>
          <w:ilvl w:val="0"/>
          <w:numId w:val="29"/>
        </w:numPr>
        <w:spacing w:after="120" w:line="270" w:lineRule="atLeast"/>
        <w:jc w:val="both"/>
        <w:rPr>
          <w:rFonts w:ascii="Arial" w:hAnsi="Arial" w:cs="Arial"/>
        </w:rPr>
      </w:pPr>
      <w:r w:rsidRPr="00B35684">
        <w:rPr>
          <w:rFonts w:ascii="Arial" w:hAnsi="Arial" w:cs="Arial"/>
        </w:rPr>
        <w:t>Green Deal Central Charge Database – which manages the recording and administration of Green Deal Plans</w:t>
      </w:r>
    </w:p>
    <w:p w:rsidR="00C9240A" w:rsidRPr="00B35684" w:rsidRDefault="00C9240A" w:rsidP="00FC7315">
      <w:pPr>
        <w:numPr>
          <w:ilvl w:val="0"/>
          <w:numId w:val="29"/>
        </w:numPr>
        <w:spacing w:after="120" w:line="270" w:lineRule="atLeast"/>
        <w:jc w:val="both"/>
        <w:rPr>
          <w:rFonts w:ascii="Arial" w:hAnsi="Arial" w:cs="Arial"/>
        </w:rPr>
      </w:pPr>
      <w:proofErr w:type="spellStart"/>
      <w:r w:rsidRPr="00B35684">
        <w:rPr>
          <w:rFonts w:ascii="Arial" w:hAnsi="Arial" w:cs="Arial"/>
        </w:rPr>
        <w:t>Ofgem</w:t>
      </w:r>
      <w:proofErr w:type="spellEnd"/>
      <w:r w:rsidRPr="00B35684">
        <w:rPr>
          <w:rFonts w:ascii="Arial" w:hAnsi="Arial" w:cs="Arial"/>
        </w:rPr>
        <w:t xml:space="preserve"> – who administer the Energy Company Obligation and collect information from energy companies on measures installed under ECO.</w:t>
      </w:r>
    </w:p>
    <w:p w:rsidR="00C9240A" w:rsidRPr="00B35684" w:rsidRDefault="00C9240A" w:rsidP="00FC7315">
      <w:pPr>
        <w:numPr>
          <w:ilvl w:val="0"/>
          <w:numId w:val="29"/>
        </w:numPr>
        <w:spacing w:after="120" w:line="270" w:lineRule="atLeast"/>
        <w:jc w:val="both"/>
        <w:rPr>
          <w:rFonts w:ascii="Arial" w:hAnsi="Arial" w:cs="Arial"/>
        </w:rPr>
      </w:pPr>
      <w:r w:rsidRPr="00B35684">
        <w:rPr>
          <w:rFonts w:ascii="Arial" w:hAnsi="Arial" w:cs="Arial"/>
        </w:rPr>
        <w:t>The Green Deal Oversight and Regulation Body (ORB) – who administer the certification of GD organisations (including assessors, installers and providers)</w:t>
      </w:r>
    </w:p>
    <w:p w:rsidR="00C9240A" w:rsidRPr="00B35684" w:rsidRDefault="00C9240A" w:rsidP="00FC7315">
      <w:pPr>
        <w:numPr>
          <w:ilvl w:val="0"/>
          <w:numId w:val="29"/>
        </w:numPr>
        <w:spacing w:after="120" w:line="270" w:lineRule="atLeast"/>
        <w:jc w:val="both"/>
        <w:rPr>
          <w:rFonts w:ascii="Arial" w:hAnsi="Arial" w:cs="Arial"/>
        </w:rPr>
      </w:pPr>
      <w:r w:rsidRPr="00B35684">
        <w:rPr>
          <w:rFonts w:ascii="Arial" w:hAnsi="Arial" w:cs="Arial"/>
        </w:rPr>
        <w:t>Data on ECO brokerage is publically available following each auction.</w:t>
      </w:r>
    </w:p>
    <w:p w:rsidR="00C9240A" w:rsidRPr="00B35684" w:rsidRDefault="00C9240A" w:rsidP="00FC7315">
      <w:pPr>
        <w:numPr>
          <w:ilvl w:val="0"/>
          <w:numId w:val="29"/>
        </w:numPr>
        <w:spacing w:after="0" w:line="270" w:lineRule="atLeast"/>
        <w:jc w:val="both"/>
        <w:rPr>
          <w:rFonts w:ascii="Arial" w:hAnsi="Arial" w:cs="Arial"/>
        </w:rPr>
      </w:pPr>
      <w:r w:rsidRPr="00B35684">
        <w:rPr>
          <w:rFonts w:ascii="Arial" w:hAnsi="Arial" w:cs="Arial"/>
        </w:rPr>
        <w:t xml:space="preserve">The Green Deal </w:t>
      </w:r>
      <w:hyperlink r:id="rId19" w:history="1">
        <w:proofErr w:type="spellStart"/>
        <w:r w:rsidRPr="00B35684">
          <w:rPr>
            <w:rStyle w:val="Hyperlink"/>
            <w:rFonts w:ascii="Arial" w:hAnsi="Arial" w:cs="Arial"/>
          </w:rPr>
          <w:t>Cashback</w:t>
        </w:r>
        <w:proofErr w:type="spellEnd"/>
        <w:r w:rsidRPr="00B35684">
          <w:rPr>
            <w:rStyle w:val="Hyperlink"/>
            <w:rFonts w:ascii="Arial" w:hAnsi="Arial" w:cs="Arial"/>
          </w:rPr>
          <w:t xml:space="preserve"> Scheme Administrator</w:t>
        </w:r>
      </w:hyperlink>
    </w:p>
    <w:p w:rsidR="00C9240A" w:rsidRPr="00B35684" w:rsidRDefault="00C9240A" w:rsidP="00FC7315">
      <w:pPr>
        <w:spacing w:after="0" w:line="270" w:lineRule="atLeast"/>
        <w:jc w:val="both"/>
        <w:rPr>
          <w:rFonts w:ascii="Arial" w:hAnsi="Arial" w:cs="Arial"/>
        </w:rPr>
      </w:pPr>
    </w:p>
    <w:p w:rsidR="00C9240A" w:rsidRPr="00B35684" w:rsidRDefault="00C9240A" w:rsidP="00FC7315">
      <w:pPr>
        <w:spacing w:after="0" w:line="270" w:lineRule="atLeast"/>
        <w:jc w:val="both"/>
        <w:rPr>
          <w:rFonts w:ascii="Arial" w:hAnsi="Arial" w:cs="Arial"/>
        </w:rPr>
      </w:pPr>
      <w:r w:rsidRPr="00B35684">
        <w:rPr>
          <w:rFonts w:ascii="Arial" w:hAnsi="Arial" w:cs="Arial"/>
        </w:rPr>
        <w:t>This report uses data from Landmark and the Energy Savin</w:t>
      </w:r>
      <w:r w:rsidR="00BC7763" w:rsidRPr="00B35684">
        <w:rPr>
          <w:rFonts w:ascii="Arial" w:hAnsi="Arial" w:cs="Arial"/>
        </w:rPr>
        <w:t>gs Trust for numbers of lodged A</w:t>
      </w:r>
      <w:r w:rsidRPr="00B35684">
        <w:rPr>
          <w:rFonts w:ascii="Arial" w:hAnsi="Arial" w:cs="Arial"/>
        </w:rPr>
        <w:t>ssessments, data from the ORB for the supply chain, and the published data on ECO brokerage.</w:t>
      </w:r>
    </w:p>
    <w:p w:rsidR="00C9240A" w:rsidRPr="00B35684" w:rsidRDefault="00C9240A" w:rsidP="00FC7315">
      <w:pPr>
        <w:spacing w:after="0" w:line="270" w:lineRule="atLeast"/>
        <w:jc w:val="both"/>
        <w:rPr>
          <w:rFonts w:ascii="Arial" w:hAnsi="Arial" w:cs="Arial"/>
        </w:rPr>
      </w:pPr>
    </w:p>
    <w:bookmarkEnd w:id="23"/>
    <w:p w:rsidR="00C9240A" w:rsidRPr="00B35684" w:rsidRDefault="00C9240A" w:rsidP="00FC7315">
      <w:pPr>
        <w:spacing w:line="270" w:lineRule="atLeast"/>
        <w:jc w:val="both"/>
        <w:rPr>
          <w:rFonts w:ascii="Arial" w:hAnsi="Arial" w:cs="Arial"/>
        </w:rPr>
      </w:pPr>
      <w:r w:rsidRPr="00B35684">
        <w:rPr>
          <w:rFonts w:ascii="Arial" w:hAnsi="Arial" w:cs="Arial"/>
        </w:rPr>
        <w:t xml:space="preserve">These estimates are released as Experimental Statistics which means they are official statistics undergoing an evaluation process prior to being assessed as National Statistics. They are published in order to involve users and stakeholders in their development, and as a means to build in quality assurance during development. </w:t>
      </w:r>
    </w:p>
    <w:p w:rsidR="00C9240A" w:rsidRPr="00B35684" w:rsidRDefault="00C9240A" w:rsidP="00FC7315">
      <w:pPr>
        <w:spacing w:line="270" w:lineRule="atLeast"/>
        <w:jc w:val="both"/>
        <w:rPr>
          <w:rFonts w:ascii="Arial" w:hAnsi="Arial" w:cs="Arial"/>
        </w:rPr>
      </w:pPr>
      <w:r w:rsidRPr="00B35684">
        <w:rPr>
          <w:rFonts w:ascii="Arial" w:hAnsi="Arial" w:cs="Arial"/>
        </w:rPr>
        <w:t xml:space="preserve">More information on the methodology is included </w:t>
      </w:r>
      <w:hyperlink r:id="rId20" w:history="1">
        <w:r w:rsidRPr="00B35684">
          <w:rPr>
            <w:rStyle w:val="Hyperlink"/>
            <w:rFonts w:ascii="Arial" w:hAnsi="Arial" w:cs="Arial"/>
          </w:rPr>
          <w:t>here</w:t>
        </w:r>
      </w:hyperlink>
      <w:r w:rsidRPr="00B35684">
        <w:rPr>
          <w:rFonts w:ascii="Arial" w:hAnsi="Arial" w:cs="Arial"/>
          <w:color w:val="FF0000"/>
        </w:rPr>
        <w:t xml:space="preserve">. </w:t>
      </w:r>
    </w:p>
    <w:p w:rsidR="00C9240A" w:rsidRPr="00B35684" w:rsidRDefault="00C9240A" w:rsidP="00FC7315">
      <w:pPr>
        <w:spacing w:line="270" w:lineRule="atLeast"/>
        <w:jc w:val="both"/>
        <w:rPr>
          <w:rFonts w:ascii="Arial" w:hAnsi="Arial" w:cs="Arial"/>
        </w:rPr>
      </w:pPr>
      <w:r w:rsidRPr="00B35684">
        <w:rPr>
          <w:rFonts w:ascii="Arial" w:hAnsi="Arial" w:cs="Arial"/>
        </w:rPr>
        <w:t xml:space="preserve">As with any new data collection, there are likely to be some data quality issues to resolve as the process beds in. Therefore data in the monthly reports should be treated as provisional and subject to revision. </w:t>
      </w:r>
    </w:p>
    <w:p w:rsidR="00C9240A" w:rsidRPr="00B35684" w:rsidRDefault="00C9240A" w:rsidP="00FC7315">
      <w:pPr>
        <w:spacing w:line="270" w:lineRule="atLeast"/>
        <w:jc w:val="both"/>
        <w:rPr>
          <w:rFonts w:ascii="Arial" w:hAnsi="Arial" w:cs="Arial"/>
          <w:b/>
        </w:rPr>
      </w:pPr>
      <w:r w:rsidRPr="00B35684">
        <w:rPr>
          <w:rFonts w:ascii="Arial" w:hAnsi="Arial" w:cs="Arial"/>
        </w:rPr>
        <w:t>Any revisions will be marked in the data tables and for any significant revisions we will provide an explanation of the main reasons.</w:t>
      </w:r>
    </w:p>
    <w:p w:rsidR="004B2E0C" w:rsidRPr="00BC58B3" w:rsidRDefault="00C9240A" w:rsidP="00FC7315">
      <w:pPr>
        <w:spacing w:after="120" w:line="270" w:lineRule="atLeast"/>
        <w:jc w:val="both"/>
        <w:rPr>
          <w:rFonts w:ascii="Arial" w:hAnsi="Arial" w:cs="Arial"/>
          <w:b/>
          <w:bCs/>
        </w:rPr>
      </w:pPr>
      <w:r w:rsidRPr="00B42A34">
        <w:rPr>
          <w:rFonts w:ascii="Arial" w:hAnsi="Arial" w:cs="Arial"/>
          <w:b/>
          <w:bCs/>
          <w:highlight w:val="yellow"/>
        </w:rPr>
        <w:br w:type="page"/>
      </w:r>
      <w:r w:rsidR="004B2E0C" w:rsidRPr="00BC58B3">
        <w:rPr>
          <w:rFonts w:ascii="Arial" w:hAnsi="Arial" w:cs="Arial"/>
          <w:b/>
          <w:bCs/>
        </w:rPr>
        <w:lastRenderedPageBreak/>
        <w:t>F</w:t>
      </w:r>
      <w:r w:rsidR="009268A2" w:rsidRPr="00BC58B3">
        <w:rPr>
          <w:rFonts w:ascii="Arial" w:hAnsi="Arial" w:cs="Arial"/>
          <w:b/>
          <w:bCs/>
        </w:rPr>
        <w:t>urther I</w:t>
      </w:r>
      <w:r w:rsidR="009E3538" w:rsidRPr="00BC58B3">
        <w:rPr>
          <w:rFonts w:ascii="Arial" w:hAnsi="Arial" w:cs="Arial"/>
          <w:b/>
          <w:bCs/>
        </w:rPr>
        <w:t xml:space="preserve">nformation and </w:t>
      </w:r>
      <w:r w:rsidR="009268A2" w:rsidRPr="00BC58B3">
        <w:rPr>
          <w:rFonts w:ascii="Arial" w:hAnsi="Arial" w:cs="Arial"/>
          <w:b/>
          <w:bCs/>
        </w:rPr>
        <w:t>F</w:t>
      </w:r>
      <w:r w:rsidR="009E3538" w:rsidRPr="00BC58B3">
        <w:rPr>
          <w:rFonts w:ascii="Arial" w:hAnsi="Arial" w:cs="Arial"/>
          <w:b/>
          <w:bCs/>
        </w:rPr>
        <w:t>eedback</w:t>
      </w:r>
    </w:p>
    <w:p w:rsidR="0066701C" w:rsidRPr="00BC58B3" w:rsidRDefault="0066701C" w:rsidP="00FC7315">
      <w:pPr>
        <w:pStyle w:val="Default"/>
        <w:spacing w:line="270" w:lineRule="atLeast"/>
        <w:rPr>
          <w:sz w:val="22"/>
          <w:szCs w:val="22"/>
        </w:rPr>
      </w:pPr>
    </w:p>
    <w:p w:rsidR="004B2E0C" w:rsidRPr="00BC58B3" w:rsidRDefault="004B2E0C" w:rsidP="00FC7315">
      <w:pPr>
        <w:pStyle w:val="Default"/>
        <w:spacing w:line="270" w:lineRule="atLeast"/>
        <w:jc w:val="both"/>
        <w:rPr>
          <w:sz w:val="22"/>
          <w:szCs w:val="22"/>
        </w:rPr>
      </w:pPr>
      <w:r w:rsidRPr="00BC58B3">
        <w:rPr>
          <w:sz w:val="22"/>
          <w:szCs w:val="22"/>
        </w:rPr>
        <w:t xml:space="preserve">Any enquiries or comments in relation to this statistical release should be sent to DECC’s </w:t>
      </w:r>
      <w:r w:rsidR="00132AE0" w:rsidRPr="00BC58B3">
        <w:rPr>
          <w:sz w:val="22"/>
          <w:szCs w:val="22"/>
        </w:rPr>
        <w:t>Green Deal</w:t>
      </w:r>
      <w:r w:rsidRPr="00BC58B3">
        <w:rPr>
          <w:sz w:val="22"/>
          <w:szCs w:val="22"/>
        </w:rPr>
        <w:t xml:space="preserve"> Statistics Team at the following </w:t>
      </w:r>
      <w:r w:rsidRPr="00BC58B3">
        <w:rPr>
          <w:color w:val="auto"/>
          <w:sz w:val="22"/>
          <w:szCs w:val="22"/>
        </w:rPr>
        <w:t>email address</w:t>
      </w:r>
      <w:r w:rsidRPr="00BC58B3">
        <w:rPr>
          <w:sz w:val="22"/>
          <w:szCs w:val="22"/>
        </w:rPr>
        <w:t xml:space="preserve">: </w:t>
      </w:r>
    </w:p>
    <w:p w:rsidR="004A32B9" w:rsidRPr="00BC58B3" w:rsidRDefault="004756E6" w:rsidP="00FC7315">
      <w:pPr>
        <w:pStyle w:val="Default"/>
        <w:spacing w:line="270" w:lineRule="atLeast"/>
        <w:jc w:val="both"/>
      </w:pPr>
      <w:hyperlink r:id="rId21" w:history="1">
        <w:r w:rsidR="004A32B9" w:rsidRPr="00BC58B3">
          <w:rPr>
            <w:rStyle w:val="Hyperlink"/>
            <w:sz w:val="22"/>
            <w:szCs w:val="22"/>
          </w:rPr>
          <w:t>EnergyEfficiency.Stats@decc.gsi.gov.uk</w:t>
        </w:r>
      </w:hyperlink>
    </w:p>
    <w:p w:rsidR="00D47820" w:rsidRPr="00BC58B3" w:rsidRDefault="00D47820" w:rsidP="00FC7315">
      <w:pPr>
        <w:pStyle w:val="Default"/>
        <w:spacing w:line="270" w:lineRule="atLeast"/>
        <w:jc w:val="both"/>
        <w:rPr>
          <w:sz w:val="22"/>
          <w:szCs w:val="22"/>
        </w:rPr>
      </w:pPr>
    </w:p>
    <w:p w:rsidR="0066701C" w:rsidRPr="00BC58B3" w:rsidRDefault="004977E7" w:rsidP="00FC7315">
      <w:pPr>
        <w:pStyle w:val="Default"/>
        <w:spacing w:line="270" w:lineRule="atLeast"/>
        <w:jc w:val="both"/>
        <w:rPr>
          <w:color w:val="auto"/>
          <w:sz w:val="22"/>
          <w:szCs w:val="22"/>
        </w:rPr>
      </w:pPr>
      <w:r w:rsidRPr="00BC58B3">
        <w:rPr>
          <w:color w:val="auto"/>
          <w:sz w:val="22"/>
          <w:szCs w:val="22"/>
        </w:rPr>
        <w:t xml:space="preserve">Contact telephone: 0300 068 </w:t>
      </w:r>
      <w:r w:rsidR="001342A4" w:rsidRPr="00BC58B3">
        <w:rPr>
          <w:color w:val="auto"/>
          <w:sz w:val="22"/>
          <w:szCs w:val="22"/>
        </w:rPr>
        <w:t>5202</w:t>
      </w:r>
    </w:p>
    <w:p w:rsidR="004977E7" w:rsidRPr="00BC58B3" w:rsidRDefault="004977E7" w:rsidP="00FC7315">
      <w:pPr>
        <w:pStyle w:val="Default"/>
        <w:spacing w:line="270" w:lineRule="atLeast"/>
        <w:jc w:val="both"/>
        <w:rPr>
          <w:sz w:val="22"/>
          <w:szCs w:val="22"/>
        </w:rPr>
      </w:pPr>
    </w:p>
    <w:p w:rsidR="0066701C" w:rsidRPr="00BC58B3" w:rsidRDefault="0066701C" w:rsidP="00FC7315">
      <w:pPr>
        <w:pStyle w:val="Default"/>
        <w:spacing w:line="270" w:lineRule="atLeast"/>
        <w:jc w:val="both"/>
        <w:rPr>
          <w:sz w:val="22"/>
          <w:szCs w:val="22"/>
        </w:rPr>
      </w:pPr>
      <w:r w:rsidRPr="00BC58B3">
        <w:rPr>
          <w:sz w:val="22"/>
          <w:szCs w:val="22"/>
        </w:rPr>
        <w:t xml:space="preserve">The statistician responsible for this publication is </w:t>
      </w:r>
      <w:r w:rsidR="00132AE0" w:rsidRPr="00BC58B3">
        <w:rPr>
          <w:sz w:val="22"/>
          <w:szCs w:val="22"/>
        </w:rPr>
        <w:t>Matt Walker</w:t>
      </w:r>
      <w:r w:rsidRPr="00BC58B3">
        <w:rPr>
          <w:sz w:val="22"/>
          <w:szCs w:val="22"/>
        </w:rPr>
        <w:t>.</w:t>
      </w:r>
    </w:p>
    <w:p w:rsidR="00AA77DB" w:rsidRPr="00BC58B3" w:rsidRDefault="00AA77DB" w:rsidP="00FC7315">
      <w:pPr>
        <w:pStyle w:val="Default"/>
        <w:spacing w:line="270" w:lineRule="atLeast"/>
        <w:jc w:val="both"/>
        <w:rPr>
          <w:sz w:val="22"/>
          <w:szCs w:val="22"/>
        </w:rPr>
      </w:pPr>
    </w:p>
    <w:p w:rsidR="004B2E0C" w:rsidRPr="00BC58B3" w:rsidRDefault="004B2E0C" w:rsidP="00FC7315">
      <w:pPr>
        <w:pStyle w:val="Default"/>
        <w:spacing w:line="270" w:lineRule="atLeast"/>
        <w:jc w:val="both"/>
        <w:rPr>
          <w:sz w:val="22"/>
          <w:szCs w:val="22"/>
        </w:rPr>
      </w:pPr>
      <w:r w:rsidRPr="00BC58B3">
        <w:rPr>
          <w:sz w:val="22"/>
          <w:szCs w:val="22"/>
        </w:rPr>
        <w:t xml:space="preserve">Further information on energy statistics is available at </w:t>
      </w:r>
      <w:hyperlink r:id="rId22" w:history="1">
        <w:r w:rsidR="001342A4" w:rsidRPr="00BC58B3">
          <w:rPr>
            <w:rStyle w:val="Hyperlink"/>
            <w:sz w:val="22"/>
            <w:szCs w:val="22"/>
          </w:rPr>
          <w:t>https://www.gov.uk/government/organisations/department-of-energy-climate-change/about/statistics</w:t>
        </w:r>
      </w:hyperlink>
    </w:p>
    <w:p w:rsidR="004B2E0C" w:rsidRPr="00B42A34" w:rsidRDefault="004B2E0C" w:rsidP="00FC7315">
      <w:pPr>
        <w:pStyle w:val="Default"/>
        <w:spacing w:line="270" w:lineRule="atLeast"/>
        <w:jc w:val="both"/>
        <w:rPr>
          <w:b/>
          <w:sz w:val="22"/>
          <w:szCs w:val="22"/>
          <w:highlight w:val="yellow"/>
        </w:rPr>
      </w:pPr>
    </w:p>
    <w:p w:rsidR="002B4815" w:rsidRPr="00B42A34" w:rsidRDefault="002B4815" w:rsidP="00FC7315">
      <w:pPr>
        <w:pStyle w:val="Default"/>
        <w:spacing w:line="270" w:lineRule="atLeast"/>
        <w:jc w:val="both"/>
        <w:rPr>
          <w:b/>
          <w:sz w:val="22"/>
          <w:szCs w:val="22"/>
          <w:highlight w:val="yellow"/>
        </w:rPr>
      </w:pPr>
    </w:p>
    <w:p w:rsidR="00547C66" w:rsidRPr="004E25A9" w:rsidRDefault="00547C66" w:rsidP="00FC7315">
      <w:pPr>
        <w:pStyle w:val="Default"/>
        <w:spacing w:line="270" w:lineRule="atLeast"/>
        <w:jc w:val="both"/>
        <w:rPr>
          <w:b/>
          <w:sz w:val="22"/>
          <w:szCs w:val="22"/>
        </w:rPr>
      </w:pPr>
      <w:r w:rsidRPr="004E25A9">
        <w:rPr>
          <w:b/>
          <w:sz w:val="22"/>
          <w:szCs w:val="22"/>
        </w:rPr>
        <w:t>Next</w:t>
      </w:r>
      <w:r w:rsidR="009268A2" w:rsidRPr="004E25A9">
        <w:rPr>
          <w:b/>
          <w:sz w:val="22"/>
          <w:szCs w:val="22"/>
        </w:rPr>
        <w:t xml:space="preserve"> R</w:t>
      </w:r>
      <w:r w:rsidRPr="004E25A9">
        <w:rPr>
          <w:b/>
          <w:sz w:val="22"/>
          <w:szCs w:val="22"/>
        </w:rPr>
        <w:t>elease</w:t>
      </w:r>
      <w:r w:rsidR="0020446F">
        <w:rPr>
          <w:b/>
          <w:sz w:val="22"/>
          <w:szCs w:val="22"/>
        </w:rPr>
        <w:t>s</w:t>
      </w:r>
    </w:p>
    <w:p w:rsidR="00547C66" w:rsidRPr="004E25A9" w:rsidRDefault="00547C66" w:rsidP="00FC7315">
      <w:pPr>
        <w:pStyle w:val="Default"/>
        <w:spacing w:line="270" w:lineRule="atLeast"/>
        <w:jc w:val="both"/>
        <w:rPr>
          <w:sz w:val="22"/>
          <w:szCs w:val="22"/>
        </w:rPr>
      </w:pPr>
    </w:p>
    <w:p w:rsidR="00E23133" w:rsidRDefault="00F176D3" w:rsidP="00F176D3">
      <w:pPr>
        <w:spacing w:line="270" w:lineRule="atLeast"/>
        <w:jc w:val="both"/>
        <w:rPr>
          <w:rFonts w:ascii="Arial" w:hAnsi="Arial" w:cs="Arial"/>
          <w:color w:val="000000"/>
        </w:rPr>
      </w:pPr>
      <w:r w:rsidRPr="00F176D3">
        <w:rPr>
          <w:rFonts w:ascii="Arial" w:hAnsi="Arial" w:cs="Arial"/>
          <w:color w:val="000000"/>
        </w:rPr>
        <w:t xml:space="preserve">The next monthly publication is planned for publication at 9.30am on </w:t>
      </w:r>
      <w:r w:rsidRPr="00F176D3">
        <w:rPr>
          <w:rFonts w:ascii="Arial" w:hAnsi="Arial" w:cs="Arial"/>
          <w:b/>
          <w:bCs/>
          <w:color w:val="000000"/>
        </w:rPr>
        <w:t>27 June 2013</w:t>
      </w:r>
      <w:r w:rsidRPr="00F176D3">
        <w:rPr>
          <w:rFonts w:ascii="Arial" w:hAnsi="Arial" w:cs="Arial"/>
          <w:color w:val="000000"/>
        </w:rPr>
        <w:t xml:space="preserve"> and will contain the latest available information on the numbers of Assessments, the GD supply chain and ECO brokerage. This publication will also, for the first time, include information on measures installed thr</w:t>
      </w:r>
      <w:r w:rsidR="00E23133">
        <w:rPr>
          <w:rFonts w:ascii="Arial" w:hAnsi="Arial" w:cs="Arial"/>
          <w:color w:val="000000"/>
        </w:rPr>
        <w:t>ough the Green Deal and ECO up </w:t>
      </w:r>
      <w:r w:rsidRPr="00F176D3">
        <w:rPr>
          <w:rFonts w:ascii="Arial" w:hAnsi="Arial" w:cs="Arial"/>
          <w:color w:val="000000"/>
        </w:rPr>
        <w:t xml:space="preserve">to the end of April and numbers of Green Deal Plans up to the end of May. </w:t>
      </w:r>
      <w:r w:rsidR="00E23133" w:rsidRPr="00F176D3">
        <w:rPr>
          <w:rFonts w:ascii="Arial" w:hAnsi="Arial" w:cs="Arial"/>
          <w:color w:val="000000"/>
        </w:rPr>
        <w:t>If possible, we will look to include any data from the first half of June if that can be satisfactorily validated.</w:t>
      </w:r>
    </w:p>
    <w:p w:rsidR="00F176D3" w:rsidRPr="00F176D3" w:rsidRDefault="00F176D3" w:rsidP="00F176D3">
      <w:pPr>
        <w:spacing w:line="270" w:lineRule="atLeast"/>
        <w:jc w:val="both"/>
        <w:rPr>
          <w:rFonts w:ascii="Arial" w:hAnsi="Arial" w:cs="Arial"/>
          <w:color w:val="000000"/>
        </w:rPr>
      </w:pPr>
      <w:r w:rsidRPr="00F176D3">
        <w:rPr>
          <w:rFonts w:ascii="Arial" w:hAnsi="Arial" w:cs="Arial"/>
          <w:color w:val="000000"/>
        </w:rPr>
        <w:t>We will also publish at the same time our first quarterly Official Statistics publication covering activity up to the end</w:t>
      </w:r>
      <w:r>
        <w:rPr>
          <w:rFonts w:ascii="Arial" w:hAnsi="Arial" w:cs="Arial"/>
          <w:color w:val="000000"/>
        </w:rPr>
        <w:t xml:space="preserve"> of</w:t>
      </w:r>
      <w:r w:rsidRPr="00F176D3">
        <w:rPr>
          <w:rFonts w:ascii="Arial" w:hAnsi="Arial" w:cs="Arial"/>
          <w:color w:val="000000"/>
        </w:rPr>
        <w:t xml:space="preserve"> March and contain more detailed analysis, including geographic breakdowns, of Green Deal Assessments and the Green Deal supply chain. </w:t>
      </w:r>
    </w:p>
    <w:p w:rsidR="00F176D3" w:rsidRPr="00F176D3" w:rsidRDefault="00F176D3" w:rsidP="00F176D3">
      <w:pPr>
        <w:spacing w:line="270" w:lineRule="atLeast"/>
        <w:jc w:val="both"/>
        <w:rPr>
          <w:rFonts w:ascii="Arial" w:hAnsi="Arial" w:cs="Arial"/>
          <w:color w:val="000000"/>
        </w:rPr>
      </w:pPr>
      <w:r w:rsidRPr="00F176D3">
        <w:rPr>
          <w:rFonts w:ascii="Arial" w:hAnsi="Arial" w:cs="Arial"/>
          <w:color w:val="000000"/>
        </w:rPr>
        <w:t>Alongside the</w:t>
      </w:r>
      <w:r>
        <w:rPr>
          <w:rFonts w:ascii="Arial" w:hAnsi="Arial" w:cs="Arial"/>
          <w:color w:val="000000"/>
        </w:rPr>
        <w:t>se</w:t>
      </w:r>
      <w:r w:rsidRPr="00F176D3">
        <w:rPr>
          <w:rFonts w:ascii="Arial" w:hAnsi="Arial" w:cs="Arial"/>
          <w:color w:val="000000"/>
        </w:rPr>
        <w:t xml:space="preserve"> statistical release</w:t>
      </w:r>
      <w:r>
        <w:rPr>
          <w:rFonts w:ascii="Arial" w:hAnsi="Arial" w:cs="Arial"/>
          <w:color w:val="000000"/>
        </w:rPr>
        <w:t>s</w:t>
      </w:r>
      <w:r w:rsidRPr="00F176D3">
        <w:rPr>
          <w:rFonts w:ascii="Arial" w:hAnsi="Arial" w:cs="Arial"/>
          <w:color w:val="000000"/>
        </w:rPr>
        <w:t xml:space="preserve"> we will also publish headline findings from research to better understand the decision making process and options householders’ take post-GD assessment.</w:t>
      </w:r>
    </w:p>
    <w:p w:rsidR="00AC669D" w:rsidRPr="00F176D3" w:rsidRDefault="00F176D3" w:rsidP="00F176D3">
      <w:pPr>
        <w:pStyle w:val="Default"/>
        <w:spacing w:line="270" w:lineRule="atLeast"/>
        <w:jc w:val="both"/>
        <w:rPr>
          <w:sz w:val="22"/>
          <w:szCs w:val="22"/>
        </w:rPr>
      </w:pPr>
      <w:r w:rsidRPr="00F176D3">
        <w:rPr>
          <w:sz w:val="22"/>
          <w:szCs w:val="22"/>
        </w:rPr>
        <w:t xml:space="preserve">From July onwards our monthly releases will be issued </w:t>
      </w:r>
      <w:r w:rsidR="00D22BB2">
        <w:rPr>
          <w:sz w:val="22"/>
          <w:szCs w:val="22"/>
        </w:rPr>
        <w:t>around the middle of the</w:t>
      </w:r>
      <w:r w:rsidRPr="00F176D3">
        <w:rPr>
          <w:sz w:val="22"/>
          <w:szCs w:val="22"/>
        </w:rPr>
        <w:t xml:space="preserve"> month (covering data to the end of the previous month) and will routi</w:t>
      </w:r>
      <w:r w:rsidR="00D22BB2">
        <w:rPr>
          <w:sz w:val="22"/>
          <w:szCs w:val="22"/>
        </w:rPr>
        <w:t>nely cover the wider set of statistics</w:t>
      </w:r>
      <w:r w:rsidRPr="00F176D3">
        <w:rPr>
          <w:sz w:val="22"/>
          <w:szCs w:val="22"/>
        </w:rPr>
        <w:t xml:space="preserve"> included in the</w:t>
      </w:r>
      <w:r w:rsidR="00FD3DEB">
        <w:rPr>
          <w:sz w:val="22"/>
          <w:szCs w:val="22"/>
        </w:rPr>
        <w:t xml:space="preserve"> June </w:t>
      </w:r>
      <w:r w:rsidR="00D22BB2">
        <w:rPr>
          <w:sz w:val="22"/>
          <w:szCs w:val="22"/>
        </w:rPr>
        <w:t xml:space="preserve">monthly </w:t>
      </w:r>
      <w:r w:rsidR="00FD3DEB">
        <w:rPr>
          <w:sz w:val="22"/>
          <w:szCs w:val="22"/>
        </w:rPr>
        <w:t>release</w:t>
      </w:r>
      <w:r w:rsidRPr="00F176D3">
        <w:rPr>
          <w:sz w:val="22"/>
          <w:szCs w:val="22"/>
        </w:rPr>
        <w:t>, with a more detailed report issued quarterly on the same day in t</w:t>
      </w:r>
      <w:r>
        <w:rPr>
          <w:sz w:val="22"/>
          <w:szCs w:val="22"/>
        </w:rPr>
        <w:t>he final month of each quarter.</w:t>
      </w:r>
    </w:p>
    <w:p w:rsidR="00547C66" w:rsidRPr="00C33C5A" w:rsidRDefault="00547C66" w:rsidP="00547C66">
      <w:pPr>
        <w:pStyle w:val="Default"/>
        <w:rPr>
          <w:b/>
          <w:bCs/>
          <w:sz w:val="22"/>
          <w:szCs w:val="22"/>
        </w:rPr>
      </w:pPr>
    </w:p>
    <w:p w:rsidR="004B2E0C" w:rsidRPr="00C33C5A" w:rsidRDefault="004B2E0C" w:rsidP="00547C66">
      <w:pPr>
        <w:pStyle w:val="Default"/>
        <w:rPr>
          <w:b/>
          <w:bCs/>
          <w:sz w:val="22"/>
          <w:szCs w:val="22"/>
        </w:rPr>
      </w:pPr>
    </w:p>
    <w:p w:rsidR="0066701C" w:rsidRDefault="0066701C" w:rsidP="005442E6">
      <w:pPr>
        <w:rPr>
          <w:rFonts w:ascii="Arial" w:hAnsi="Arial" w:cs="Arial"/>
          <w:sz w:val="24"/>
          <w:szCs w:val="24"/>
        </w:rPr>
      </w:pPr>
    </w:p>
    <w:p w:rsidR="004C19AE" w:rsidRDefault="002715B6" w:rsidP="005442E6">
      <w:pPr>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AC669D" w:rsidRDefault="00AC669D" w:rsidP="005442E6">
      <w:pPr>
        <w:rPr>
          <w:rFonts w:ascii="Arial" w:hAnsi="Arial" w:cs="Arial"/>
          <w:sz w:val="24"/>
          <w:szCs w:val="24"/>
        </w:rPr>
      </w:pPr>
    </w:p>
    <w:p w:rsidR="00AC669D" w:rsidRDefault="00AC669D" w:rsidP="005442E6">
      <w:pPr>
        <w:rPr>
          <w:rFonts w:ascii="Arial" w:hAnsi="Arial" w:cs="Arial"/>
          <w:sz w:val="24"/>
          <w:szCs w:val="24"/>
        </w:rPr>
      </w:pPr>
    </w:p>
    <w:p w:rsidR="00AC669D" w:rsidRDefault="004756E6" w:rsidP="005442E6">
      <w:pPr>
        <w:rPr>
          <w:rFonts w:ascii="Arial" w:hAnsi="Arial" w:cs="Arial"/>
          <w:sz w:val="24"/>
          <w:szCs w:val="24"/>
        </w:rPr>
      </w:pPr>
      <w:r w:rsidRPr="004756E6">
        <w:rPr>
          <w:noProof/>
        </w:rPr>
        <w:pict>
          <v:shape id="_x0000_s1056" type="#_x0000_t75" style="position:absolute;margin-left:262.05pt;margin-top:20.55pt;width:185.5pt;height:122.9pt;z-index:251664384;mso-position-horizontal-relative:text;mso-position-vertical-relative:text">
            <v:imagedata r:id="rId23" o:title="DECC_CYAN_SML_AW"/>
          </v:shape>
        </w:pict>
      </w:r>
      <w:r w:rsidRPr="004756E6">
        <w:rPr>
          <w:b/>
          <w:bCs/>
          <w:noProof/>
          <w:sz w:val="23"/>
          <w:szCs w:val="23"/>
          <w:lang w:val="en-US" w:eastAsia="zh-TW"/>
        </w:rPr>
        <w:pict>
          <v:shapetype id="_x0000_t202" coordsize="21600,21600" o:spt="202" path="m,l,21600r21600,l21600,xe">
            <v:stroke joinstyle="miter"/>
            <v:path gradientshapeok="t" o:connecttype="rect"/>
          </v:shapetype>
          <v:shape id="_x0000_s1032" type="#_x0000_t202" style="position:absolute;margin-left:-11.2pt;margin-top:21.25pt;width:249.75pt;height:133.7pt;z-index:251662336;mso-height-percent:200;mso-height-percent:200;mso-width-relative:margin;mso-height-relative:margin" filled="f" stroked="f">
            <v:textbox style="mso-next-textbox:#_x0000_s1032;mso-fit-shape-to-text:t">
              <w:txbxContent>
                <w:p w:rsidR="00D22BB2" w:rsidRPr="00C33C5A" w:rsidRDefault="00D22BB2" w:rsidP="0066701C">
                  <w:pPr>
                    <w:pStyle w:val="Default"/>
                    <w:rPr>
                      <w:sz w:val="22"/>
                      <w:szCs w:val="22"/>
                    </w:rPr>
                  </w:pPr>
                  <w:r>
                    <w:rPr>
                      <w:b/>
                      <w:bCs/>
                      <w:sz w:val="22"/>
                      <w:szCs w:val="22"/>
                    </w:rPr>
                    <w:t>Issued by</w:t>
                  </w:r>
                  <w:r w:rsidRPr="00C33C5A">
                    <w:rPr>
                      <w:b/>
                      <w:bCs/>
                      <w:sz w:val="22"/>
                      <w:szCs w:val="22"/>
                    </w:rPr>
                    <w:t xml:space="preserve">: </w:t>
                  </w:r>
                </w:p>
                <w:p w:rsidR="00D22BB2" w:rsidRPr="00427F61" w:rsidRDefault="00D22BB2" w:rsidP="0066701C">
                  <w:pPr>
                    <w:pStyle w:val="Default"/>
                    <w:rPr>
                      <w:sz w:val="22"/>
                      <w:szCs w:val="22"/>
                    </w:rPr>
                  </w:pPr>
                  <w:r w:rsidRPr="00427F61">
                    <w:rPr>
                      <w:sz w:val="22"/>
                      <w:szCs w:val="22"/>
                    </w:rPr>
                    <w:t xml:space="preserve">Department of Energy &amp; Climate Change </w:t>
                  </w:r>
                </w:p>
                <w:p w:rsidR="00D22BB2" w:rsidRPr="00427F61" w:rsidRDefault="00D22BB2" w:rsidP="0066701C">
                  <w:pPr>
                    <w:pStyle w:val="Default"/>
                    <w:rPr>
                      <w:sz w:val="22"/>
                      <w:szCs w:val="22"/>
                    </w:rPr>
                  </w:pPr>
                  <w:r w:rsidRPr="00427F61">
                    <w:rPr>
                      <w:sz w:val="22"/>
                      <w:szCs w:val="22"/>
                    </w:rPr>
                    <w:t xml:space="preserve">3 Whitehall Place </w:t>
                  </w:r>
                </w:p>
                <w:p w:rsidR="00D22BB2" w:rsidRPr="00427F61" w:rsidRDefault="00D22BB2" w:rsidP="0066701C">
                  <w:pPr>
                    <w:pStyle w:val="Default"/>
                    <w:rPr>
                      <w:sz w:val="22"/>
                      <w:szCs w:val="22"/>
                    </w:rPr>
                  </w:pPr>
                  <w:r w:rsidRPr="00427F61">
                    <w:rPr>
                      <w:sz w:val="22"/>
                      <w:szCs w:val="22"/>
                    </w:rPr>
                    <w:t xml:space="preserve">London SW1A 2AW </w:t>
                  </w:r>
                </w:p>
                <w:p w:rsidR="00D22BB2" w:rsidRDefault="00D22BB2" w:rsidP="004977E7">
                  <w:pPr>
                    <w:pStyle w:val="Default"/>
                    <w:rPr>
                      <w:sz w:val="22"/>
                      <w:szCs w:val="22"/>
                    </w:rPr>
                  </w:pPr>
                  <w:r w:rsidRPr="00A868C3">
                    <w:rPr>
                      <w:b/>
                      <w:sz w:val="22"/>
                      <w:szCs w:val="22"/>
                    </w:rPr>
                    <w:t>www.gov.uk/</w:t>
                  </w:r>
                  <w:r>
                    <w:rPr>
                      <w:b/>
                      <w:sz w:val="22"/>
                      <w:szCs w:val="22"/>
                    </w:rPr>
                    <w:t>decc</w:t>
                  </w:r>
                </w:p>
                <w:p w:rsidR="00D22BB2" w:rsidRDefault="00D22BB2" w:rsidP="004977E7">
                  <w:pPr>
                    <w:pStyle w:val="Default"/>
                    <w:rPr>
                      <w:sz w:val="22"/>
                      <w:szCs w:val="22"/>
                    </w:rPr>
                  </w:pPr>
                </w:p>
                <w:p w:rsidR="00D22BB2" w:rsidRPr="00C33C5A" w:rsidRDefault="00D22BB2" w:rsidP="004977E7">
                  <w:pPr>
                    <w:pStyle w:val="Default"/>
                    <w:rPr>
                      <w:sz w:val="22"/>
                      <w:szCs w:val="22"/>
                    </w:rPr>
                  </w:pPr>
                  <w:r w:rsidRPr="00C33C5A">
                    <w:rPr>
                      <w:sz w:val="22"/>
                      <w:szCs w:val="22"/>
                    </w:rPr>
                    <w:t xml:space="preserve">Press Enquiries: 0300 068 5219 </w:t>
                  </w:r>
                </w:p>
                <w:p w:rsidR="00D22BB2" w:rsidRDefault="00D22BB2" w:rsidP="004977E7">
                  <w:pPr>
                    <w:pStyle w:val="Default"/>
                    <w:rPr>
                      <w:sz w:val="22"/>
                      <w:szCs w:val="22"/>
                    </w:rPr>
                  </w:pPr>
                  <w:r w:rsidRPr="00C33C5A">
                    <w:rPr>
                      <w:sz w:val="22"/>
                      <w:szCs w:val="22"/>
                    </w:rPr>
                    <w:t>Out of hours: 020 7215 3505</w:t>
                  </w:r>
                </w:p>
                <w:p w:rsidR="00D22BB2" w:rsidRPr="00DE5F03" w:rsidRDefault="00D22BB2" w:rsidP="0066701C">
                  <w:pPr>
                    <w:pStyle w:val="Default"/>
                    <w:rPr>
                      <w:sz w:val="22"/>
                      <w:szCs w:val="22"/>
                    </w:rPr>
                  </w:pPr>
                  <w:r w:rsidRPr="00C33C5A">
                    <w:rPr>
                      <w:sz w:val="22"/>
                      <w:szCs w:val="22"/>
                    </w:rPr>
                    <w:t>General Enquiries: 0300 060 4000</w:t>
                  </w:r>
                </w:p>
              </w:txbxContent>
            </v:textbox>
          </v:shape>
        </w:pict>
      </w:r>
    </w:p>
    <w:p w:rsidR="00AC669D" w:rsidRDefault="00AC669D" w:rsidP="005442E6">
      <w:pPr>
        <w:rPr>
          <w:rFonts w:ascii="Arial" w:hAnsi="Arial" w:cs="Arial"/>
          <w:sz w:val="24"/>
          <w:szCs w:val="24"/>
        </w:rPr>
      </w:pPr>
    </w:p>
    <w:p w:rsidR="00AC669D" w:rsidRDefault="00AC669D" w:rsidP="005442E6">
      <w:pPr>
        <w:rPr>
          <w:rFonts w:ascii="Arial" w:hAnsi="Arial" w:cs="Arial"/>
          <w:sz w:val="24"/>
          <w:szCs w:val="24"/>
        </w:rPr>
      </w:pPr>
    </w:p>
    <w:sectPr w:rsidR="00AC669D" w:rsidSect="00A865B4">
      <w:headerReference w:type="even" r:id="rId24"/>
      <w:headerReference w:type="default" r:id="rId25"/>
      <w:footerReference w:type="even" r:id="rId26"/>
      <w:footerReference w:type="default" r:id="rId27"/>
      <w:headerReference w:type="first" r:id="rId28"/>
      <w:footerReference w:type="first" r:id="rId29"/>
      <w:pgSz w:w="11906" w:h="16838" w:code="9"/>
      <w:pgMar w:top="289" w:right="1440" w:bottom="1134" w:left="1440"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BB2" w:rsidRDefault="00D22BB2" w:rsidP="00F32CE2">
      <w:pPr>
        <w:spacing w:after="0" w:line="240" w:lineRule="auto"/>
      </w:pPr>
      <w:r>
        <w:separator/>
      </w:r>
    </w:p>
  </w:endnote>
  <w:endnote w:type="continuationSeparator" w:id="0">
    <w:p w:rsidR="00D22BB2" w:rsidRDefault="00D22BB2" w:rsidP="00F32C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B2" w:rsidRDefault="00D22B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B2" w:rsidRDefault="004756E6">
    <w:pPr>
      <w:pStyle w:val="Footer"/>
      <w:jc w:val="center"/>
    </w:pPr>
    <w:fldSimple w:instr=" PAGE   \* MERGEFORMAT ">
      <w:r w:rsidR="00C37190">
        <w:rPr>
          <w:noProof/>
        </w:rPr>
        <w:t>6</w:t>
      </w:r>
    </w:fldSimple>
  </w:p>
  <w:p w:rsidR="00D22BB2" w:rsidRDefault="00D22BB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B2" w:rsidRDefault="00D22B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BB2" w:rsidRDefault="00D22BB2" w:rsidP="00F32CE2">
      <w:pPr>
        <w:spacing w:after="0" w:line="240" w:lineRule="auto"/>
      </w:pPr>
      <w:r>
        <w:separator/>
      </w:r>
    </w:p>
  </w:footnote>
  <w:footnote w:type="continuationSeparator" w:id="0">
    <w:p w:rsidR="00D22BB2" w:rsidRDefault="00D22BB2" w:rsidP="00F32CE2">
      <w:pPr>
        <w:spacing w:after="0" w:line="240" w:lineRule="auto"/>
      </w:pPr>
      <w:r>
        <w:continuationSeparator/>
      </w:r>
    </w:p>
  </w:footnote>
  <w:footnote w:id="1">
    <w:p w:rsidR="00D22BB2" w:rsidRPr="00336CC2" w:rsidRDefault="00D22BB2" w:rsidP="00E47442">
      <w:pPr>
        <w:pStyle w:val="FootnoteText"/>
        <w:spacing w:after="0"/>
        <w:jc w:val="both"/>
      </w:pPr>
      <w:r w:rsidRPr="00336CC2">
        <w:rPr>
          <w:rStyle w:val="FootnoteReference"/>
        </w:rPr>
        <w:footnoteRef/>
      </w:r>
      <w:r w:rsidRPr="00336CC2">
        <w:t xml:space="preserve"> The Plan is a contract between the owner/occupier and the Provider – it sets out the work that will be done and the repayments.</w:t>
      </w:r>
    </w:p>
  </w:footnote>
  <w:footnote w:id="2">
    <w:p w:rsidR="00D22BB2" w:rsidRDefault="00D22BB2" w:rsidP="00AF316A">
      <w:pPr>
        <w:pStyle w:val="FootnoteText"/>
        <w:spacing w:after="0"/>
        <w:jc w:val="both"/>
      </w:pPr>
      <w:r w:rsidRPr="00336CC2">
        <w:rPr>
          <w:rStyle w:val="FootnoteReference"/>
        </w:rPr>
        <w:footnoteRef/>
      </w:r>
      <w:r w:rsidRPr="00336CC2">
        <w:t xml:space="preserve"> For example, in the case of a Green Deal Plan that is regulated by the Consumer Credit Act 1974, the consumer will have 14 days to withdraw from the part of the Green Deal Plan which provides credit.</w:t>
      </w:r>
    </w:p>
  </w:footnote>
  <w:footnote w:id="3">
    <w:p w:rsidR="00D22BB2" w:rsidRDefault="00D22BB2">
      <w:pPr>
        <w:pStyle w:val="FootnoteText"/>
      </w:pPr>
      <w:r>
        <w:rPr>
          <w:rStyle w:val="FootnoteReference"/>
        </w:rPr>
        <w:footnoteRef/>
      </w:r>
      <w:r>
        <w:t xml:space="preserve"> Unlike Advisors in Assessor organisations, individual Installers within an installer organisation</w:t>
      </w:r>
      <w:r w:rsidRPr="0045708B">
        <w:t xml:space="preserve"> do</w:t>
      </w:r>
      <w:r>
        <w:t xml:space="preserve"> not</w:t>
      </w:r>
      <w:r w:rsidRPr="0045708B">
        <w:t xml:space="preserve"> need to register</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B2" w:rsidRDefault="00D22B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B2" w:rsidRDefault="00D22BB2">
    <w:pPr>
      <w:pStyle w:val="Header"/>
    </w:pPr>
  </w:p>
  <w:p w:rsidR="00D22BB2" w:rsidRPr="004B2D86" w:rsidRDefault="00D22BB2" w:rsidP="004B2D86">
    <w:pPr>
      <w:pStyle w:val="Header"/>
      <w:jc w:val="center"/>
      <w:rPr>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BB2" w:rsidRDefault="004756E6" w:rsidP="00DE5F03">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89.15pt;margin-top:7.1pt;width:161pt;height:105.95pt;z-index:251660288;mso-position-horizontal-relative:text;mso-position-vertical-relative:text">
          <v:imagedata r:id="rId1" o:title="DECC_CYAN_SML_AW"/>
        </v:shape>
      </w:pict>
    </w:r>
  </w:p>
  <w:p w:rsidR="00D22BB2" w:rsidRDefault="00D22BB2">
    <w:pPr>
      <w:pStyle w:val="Header"/>
    </w:pPr>
  </w:p>
  <w:p w:rsidR="00D22BB2" w:rsidRDefault="00D22BB2">
    <w:pPr>
      <w:pStyle w:val="Header"/>
    </w:pPr>
  </w:p>
  <w:p w:rsidR="00D22BB2" w:rsidRDefault="00D22BB2">
    <w:pPr>
      <w:pStyle w:val="Header"/>
    </w:pPr>
  </w:p>
  <w:p w:rsidR="00D22BB2" w:rsidRDefault="00D22B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49DB"/>
    <w:multiLevelType w:val="hybridMultilevel"/>
    <w:tmpl w:val="C6345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F71A8F"/>
    <w:multiLevelType w:val="hybridMultilevel"/>
    <w:tmpl w:val="3716B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9B762C"/>
    <w:multiLevelType w:val="hybridMultilevel"/>
    <w:tmpl w:val="791E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AB04A4"/>
    <w:multiLevelType w:val="hybridMultilevel"/>
    <w:tmpl w:val="64661D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1F1622"/>
    <w:multiLevelType w:val="hybridMultilevel"/>
    <w:tmpl w:val="C43A78CC"/>
    <w:lvl w:ilvl="0" w:tplc="902C7A9A">
      <w:start w:val="1"/>
      <w:numFmt w:val="decimal"/>
      <w:lvlText w:val="%1."/>
      <w:lvlJc w:val="left"/>
      <w:pPr>
        <w:ind w:left="720" w:hanging="360"/>
      </w:pPr>
      <w:rPr>
        <w:rFonts w:ascii="Arial" w:hAnsi="Arial"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C120E7"/>
    <w:multiLevelType w:val="hybridMultilevel"/>
    <w:tmpl w:val="080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AF0A82"/>
    <w:multiLevelType w:val="hybridMultilevel"/>
    <w:tmpl w:val="7FE4E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CE1922"/>
    <w:multiLevelType w:val="hybridMultilevel"/>
    <w:tmpl w:val="D0E0A2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nsid w:val="21446010"/>
    <w:multiLevelType w:val="hybridMultilevel"/>
    <w:tmpl w:val="A81AA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65723C"/>
    <w:multiLevelType w:val="hybridMultilevel"/>
    <w:tmpl w:val="8992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8E5880"/>
    <w:multiLevelType w:val="hybridMultilevel"/>
    <w:tmpl w:val="3822C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2A63D90"/>
    <w:multiLevelType w:val="hybridMultilevel"/>
    <w:tmpl w:val="DE10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E011A"/>
    <w:multiLevelType w:val="hybridMultilevel"/>
    <w:tmpl w:val="F49C8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763BB3"/>
    <w:multiLevelType w:val="hybridMultilevel"/>
    <w:tmpl w:val="B6A0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377B27"/>
    <w:multiLevelType w:val="hybridMultilevel"/>
    <w:tmpl w:val="A1D290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9C0498"/>
    <w:multiLevelType w:val="hybridMultilevel"/>
    <w:tmpl w:val="FBE40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482D3149"/>
    <w:multiLevelType w:val="hybridMultilevel"/>
    <w:tmpl w:val="DDA473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51A73192"/>
    <w:multiLevelType w:val="hybridMultilevel"/>
    <w:tmpl w:val="DDD2481A"/>
    <w:lvl w:ilvl="0" w:tplc="44F6DF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2F1209A"/>
    <w:multiLevelType w:val="hybridMultilevel"/>
    <w:tmpl w:val="EF8C5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4353FEF"/>
    <w:multiLevelType w:val="hybridMultilevel"/>
    <w:tmpl w:val="F5623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AA33CF"/>
    <w:multiLevelType w:val="hybridMultilevel"/>
    <w:tmpl w:val="AFDC4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462C76"/>
    <w:multiLevelType w:val="hybridMultilevel"/>
    <w:tmpl w:val="DA7A26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9E5B38"/>
    <w:multiLevelType w:val="hybridMultilevel"/>
    <w:tmpl w:val="76064E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CE026D8"/>
    <w:multiLevelType w:val="hybridMultilevel"/>
    <w:tmpl w:val="B3AC6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362AFA"/>
    <w:multiLevelType w:val="hybridMultilevel"/>
    <w:tmpl w:val="FC64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B4669F"/>
    <w:multiLevelType w:val="hybridMultilevel"/>
    <w:tmpl w:val="38B6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26C683D"/>
    <w:multiLevelType w:val="hybridMultilevel"/>
    <w:tmpl w:val="885C9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0559D4"/>
    <w:multiLevelType w:val="hybridMultilevel"/>
    <w:tmpl w:val="DD685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F0731B"/>
    <w:multiLevelType w:val="hybridMultilevel"/>
    <w:tmpl w:val="2D4E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0"/>
  </w:num>
  <w:num w:numId="4">
    <w:abstractNumId w:val="26"/>
  </w:num>
  <w:num w:numId="5">
    <w:abstractNumId w:val="27"/>
  </w:num>
  <w:num w:numId="6">
    <w:abstractNumId w:val="5"/>
  </w:num>
  <w:num w:numId="7">
    <w:abstractNumId w:val="2"/>
  </w:num>
  <w:num w:numId="8">
    <w:abstractNumId w:val="17"/>
  </w:num>
  <w:num w:numId="9">
    <w:abstractNumId w:val="0"/>
  </w:num>
  <w:num w:numId="10">
    <w:abstractNumId w:val="3"/>
  </w:num>
  <w:num w:numId="11">
    <w:abstractNumId w:val="11"/>
  </w:num>
  <w:num w:numId="12">
    <w:abstractNumId w:val="12"/>
  </w:num>
  <w:num w:numId="13">
    <w:abstractNumId w:val="9"/>
  </w:num>
  <w:num w:numId="14">
    <w:abstractNumId w:val="24"/>
  </w:num>
  <w:num w:numId="15">
    <w:abstractNumId w:val="4"/>
  </w:num>
  <w:num w:numId="16">
    <w:abstractNumId w:val="23"/>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4"/>
  </w:num>
  <w:num w:numId="2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1"/>
  </w:num>
  <w:num w:numId="23">
    <w:abstractNumId w:val="25"/>
  </w:num>
  <w:num w:numId="24">
    <w:abstractNumId w:val="18"/>
  </w:num>
  <w:num w:numId="25">
    <w:abstractNumId w:val="22"/>
  </w:num>
  <w:num w:numId="26">
    <w:abstractNumId w:val="15"/>
  </w:num>
  <w:num w:numId="27">
    <w:abstractNumId w:val="1"/>
  </w:num>
  <w:num w:numId="28">
    <w:abstractNumId w:val="20"/>
  </w:num>
  <w:num w:numId="2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drawingGridHorizontalSpacing w:val="110"/>
  <w:displayHorizontalDrawingGridEvery w:val="2"/>
  <w:characterSpacingControl w:val="doNotCompress"/>
  <w:hdrShapeDefaults>
    <o:shapedefaults v:ext="edit" spidmax="2055">
      <o:colormenu v:ext="edit" strokecolor="non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10AD"/>
    <w:rsid w:val="00000529"/>
    <w:rsid w:val="000007F1"/>
    <w:rsid w:val="00000D9E"/>
    <w:rsid w:val="00002307"/>
    <w:rsid w:val="000023AA"/>
    <w:rsid w:val="00003223"/>
    <w:rsid w:val="000033F6"/>
    <w:rsid w:val="000056B9"/>
    <w:rsid w:val="00005BDD"/>
    <w:rsid w:val="000062F9"/>
    <w:rsid w:val="00006CEF"/>
    <w:rsid w:val="00011E05"/>
    <w:rsid w:val="00014593"/>
    <w:rsid w:val="0001505E"/>
    <w:rsid w:val="000219C6"/>
    <w:rsid w:val="0002440C"/>
    <w:rsid w:val="0002442E"/>
    <w:rsid w:val="0002778C"/>
    <w:rsid w:val="00027B49"/>
    <w:rsid w:val="00031B95"/>
    <w:rsid w:val="00035F2A"/>
    <w:rsid w:val="00037625"/>
    <w:rsid w:val="00041C1E"/>
    <w:rsid w:val="000439D1"/>
    <w:rsid w:val="0004512A"/>
    <w:rsid w:val="00053DC8"/>
    <w:rsid w:val="00057249"/>
    <w:rsid w:val="00066A38"/>
    <w:rsid w:val="00067CE6"/>
    <w:rsid w:val="000707B3"/>
    <w:rsid w:val="00071F50"/>
    <w:rsid w:val="00072307"/>
    <w:rsid w:val="000735FA"/>
    <w:rsid w:val="00074965"/>
    <w:rsid w:val="00075ED4"/>
    <w:rsid w:val="00083498"/>
    <w:rsid w:val="000837C7"/>
    <w:rsid w:val="00084184"/>
    <w:rsid w:val="00085C59"/>
    <w:rsid w:val="000909B4"/>
    <w:rsid w:val="000923A2"/>
    <w:rsid w:val="00095AA8"/>
    <w:rsid w:val="00096C67"/>
    <w:rsid w:val="000A0575"/>
    <w:rsid w:val="000A0962"/>
    <w:rsid w:val="000A0998"/>
    <w:rsid w:val="000A21D6"/>
    <w:rsid w:val="000A4DB5"/>
    <w:rsid w:val="000A60A3"/>
    <w:rsid w:val="000B1F13"/>
    <w:rsid w:val="000C181E"/>
    <w:rsid w:val="000C5876"/>
    <w:rsid w:val="000C6CD6"/>
    <w:rsid w:val="000C7519"/>
    <w:rsid w:val="000D08A4"/>
    <w:rsid w:val="000D496F"/>
    <w:rsid w:val="000D5FB6"/>
    <w:rsid w:val="000D78B4"/>
    <w:rsid w:val="000E0C6C"/>
    <w:rsid w:val="000E18F5"/>
    <w:rsid w:val="000E2B6C"/>
    <w:rsid w:val="000E3114"/>
    <w:rsid w:val="000E6F2A"/>
    <w:rsid w:val="000E77E3"/>
    <w:rsid w:val="000F3C38"/>
    <w:rsid w:val="000F42DA"/>
    <w:rsid w:val="000F62DC"/>
    <w:rsid w:val="000F6AEB"/>
    <w:rsid w:val="000F6B88"/>
    <w:rsid w:val="000F7EFD"/>
    <w:rsid w:val="00102749"/>
    <w:rsid w:val="00104BB8"/>
    <w:rsid w:val="00107395"/>
    <w:rsid w:val="00114BB1"/>
    <w:rsid w:val="00116865"/>
    <w:rsid w:val="00127BD3"/>
    <w:rsid w:val="001323AF"/>
    <w:rsid w:val="00132AE0"/>
    <w:rsid w:val="001342A4"/>
    <w:rsid w:val="0013533B"/>
    <w:rsid w:val="0014013F"/>
    <w:rsid w:val="00140656"/>
    <w:rsid w:val="0014368D"/>
    <w:rsid w:val="00143B8D"/>
    <w:rsid w:val="00144DB1"/>
    <w:rsid w:val="00145A39"/>
    <w:rsid w:val="00145F84"/>
    <w:rsid w:val="00146457"/>
    <w:rsid w:val="00150A78"/>
    <w:rsid w:val="001510AD"/>
    <w:rsid w:val="0015113A"/>
    <w:rsid w:val="001528CD"/>
    <w:rsid w:val="00153320"/>
    <w:rsid w:val="00156288"/>
    <w:rsid w:val="0016009B"/>
    <w:rsid w:val="001603AC"/>
    <w:rsid w:val="001607C9"/>
    <w:rsid w:val="00161A00"/>
    <w:rsid w:val="00162328"/>
    <w:rsid w:val="0016325E"/>
    <w:rsid w:val="00163621"/>
    <w:rsid w:val="00166710"/>
    <w:rsid w:val="001716A8"/>
    <w:rsid w:val="00176ED1"/>
    <w:rsid w:val="00177D4C"/>
    <w:rsid w:val="00180642"/>
    <w:rsid w:val="00180E6A"/>
    <w:rsid w:val="0018194B"/>
    <w:rsid w:val="00181A41"/>
    <w:rsid w:val="00185D7A"/>
    <w:rsid w:val="00196115"/>
    <w:rsid w:val="001967BE"/>
    <w:rsid w:val="00196FD2"/>
    <w:rsid w:val="001976BE"/>
    <w:rsid w:val="001A395B"/>
    <w:rsid w:val="001A3ACE"/>
    <w:rsid w:val="001A48AD"/>
    <w:rsid w:val="001A77DA"/>
    <w:rsid w:val="001B0575"/>
    <w:rsid w:val="001B0A52"/>
    <w:rsid w:val="001B32AB"/>
    <w:rsid w:val="001B34D8"/>
    <w:rsid w:val="001B3ED0"/>
    <w:rsid w:val="001B47C1"/>
    <w:rsid w:val="001B545D"/>
    <w:rsid w:val="001B5A01"/>
    <w:rsid w:val="001C035F"/>
    <w:rsid w:val="001C0C8F"/>
    <w:rsid w:val="001C245F"/>
    <w:rsid w:val="001C311C"/>
    <w:rsid w:val="001C3928"/>
    <w:rsid w:val="001C40D9"/>
    <w:rsid w:val="001C4778"/>
    <w:rsid w:val="001C4A51"/>
    <w:rsid w:val="001C6B56"/>
    <w:rsid w:val="001C6CC7"/>
    <w:rsid w:val="001D1672"/>
    <w:rsid w:val="001D1FA7"/>
    <w:rsid w:val="001D3AA8"/>
    <w:rsid w:val="001D459A"/>
    <w:rsid w:val="001D4DE3"/>
    <w:rsid w:val="001D5FCB"/>
    <w:rsid w:val="001E1BDA"/>
    <w:rsid w:val="001E7166"/>
    <w:rsid w:val="001F1B47"/>
    <w:rsid w:val="001F3E75"/>
    <w:rsid w:val="001F419A"/>
    <w:rsid w:val="001F5973"/>
    <w:rsid w:val="001F67DE"/>
    <w:rsid w:val="001F6AA3"/>
    <w:rsid w:val="00200C54"/>
    <w:rsid w:val="00201298"/>
    <w:rsid w:val="00203441"/>
    <w:rsid w:val="00203A00"/>
    <w:rsid w:val="0020446F"/>
    <w:rsid w:val="002051C5"/>
    <w:rsid w:val="0020725D"/>
    <w:rsid w:val="00210479"/>
    <w:rsid w:val="00211D46"/>
    <w:rsid w:val="00212208"/>
    <w:rsid w:val="00213206"/>
    <w:rsid w:val="002139A1"/>
    <w:rsid w:val="00213BDC"/>
    <w:rsid w:val="002140D8"/>
    <w:rsid w:val="002163CB"/>
    <w:rsid w:val="00220177"/>
    <w:rsid w:val="0022365E"/>
    <w:rsid w:val="00226D33"/>
    <w:rsid w:val="00231828"/>
    <w:rsid w:val="00233B1D"/>
    <w:rsid w:val="00235882"/>
    <w:rsid w:val="00236476"/>
    <w:rsid w:val="002379FC"/>
    <w:rsid w:val="00242766"/>
    <w:rsid w:val="00243B5E"/>
    <w:rsid w:val="00243C11"/>
    <w:rsid w:val="0024567F"/>
    <w:rsid w:val="00255B1C"/>
    <w:rsid w:val="002566BA"/>
    <w:rsid w:val="0026245A"/>
    <w:rsid w:val="00262979"/>
    <w:rsid w:val="00262DBA"/>
    <w:rsid w:val="00263DFA"/>
    <w:rsid w:val="002662F1"/>
    <w:rsid w:val="00270BE9"/>
    <w:rsid w:val="002715B6"/>
    <w:rsid w:val="00271697"/>
    <w:rsid w:val="00273BD0"/>
    <w:rsid w:val="00274BFC"/>
    <w:rsid w:val="00275E8C"/>
    <w:rsid w:val="002768AB"/>
    <w:rsid w:val="00280051"/>
    <w:rsid w:val="00282105"/>
    <w:rsid w:val="00284C39"/>
    <w:rsid w:val="002942A0"/>
    <w:rsid w:val="00296FF5"/>
    <w:rsid w:val="00297706"/>
    <w:rsid w:val="002B04DB"/>
    <w:rsid w:val="002B094C"/>
    <w:rsid w:val="002B127C"/>
    <w:rsid w:val="002B3DFD"/>
    <w:rsid w:val="002B444F"/>
    <w:rsid w:val="002B4815"/>
    <w:rsid w:val="002B5FF2"/>
    <w:rsid w:val="002B7CD5"/>
    <w:rsid w:val="002C2894"/>
    <w:rsid w:val="002C2E7C"/>
    <w:rsid w:val="002C44B1"/>
    <w:rsid w:val="002C6C2E"/>
    <w:rsid w:val="002C6F91"/>
    <w:rsid w:val="002D3A2F"/>
    <w:rsid w:val="002D66D6"/>
    <w:rsid w:val="002D7A2F"/>
    <w:rsid w:val="002D7F7A"/>
    <w:rsid w:val="002E3AC5"/>
    <w:rsid w:val="002E4380"/>
    <w:rsid w:val="002E5788"/>
    <w:rsid w:val="002E6881"/>
    <w:rsid w:val="002E7926"/>
    <w:rsid w:val="002F1E7D"/>
    <w:rsid w:val="002F62BC"/>
    <w:rsid w:val="00300E17"/>
    <w:rsid w:val="00305AE3"/>
    <w:rsid w:val="00306CAA"/>
    <w:rsid w:val="0031143B"/>
    <w:rsid w:val="0031382D"/>
    <w:rsid w:val="00313B76"/>
    <w:rsid w:val="003149AD"/>
    <w:rsid w:val="00314E04"/>
    <w:rsid w:val="003151EC"/>
    <w:rsid w:val="00316CBE"/>
    <w:rsid w:val="003220B7"/>
    <w:rsid w:val="00322DD3"/>
    <w:rsid w:val="0032494E"/>
    <w:rsid w:val="003261EA"/>
    <w:rsid w:val="003262F4"/>
    <w:rsid w:val="003342BF"/>
    <w:rsid w:val="0033475E"/>
    <w:rsid w:val="00334D86"/>
    <w:rsid w:val="00334F4E"/>
    <w:rsid w:val="003365F5"/>
    <w:rsid w:val="00336CC2"/>
    <w:rsid w:val="00340331"/>
    <w:rsid w:val="00342CE6"/>
    <w:rsid w:val="003465D8"/>
    <w:rsid w:val="00350780"/>
    <w:rsid w:val="003515E6"/>
    <w:rsid w:val="003538D4"/>
    <w:rsid w:val="0036146D"/>
    <w:rsid w:val="00362B76"/>
    <w:rsid w:val="00364ADD"/>
    <w:rsid w:val="00366C8E"/>
    <w:rsid w:val="003670A9"/>
    <w:rsid w:val="003713E8"/>
    <w:rsid w:val="003716DC"/>
    <w:rsid w:val="00371792"/>
    <w:rsid w:val="00371BEC"/>
    <w:rsid w:val="00374309"/>
    <w:rsid w:val="00383A17"/>
    <w:rsid w:val="00383C82"/>
    <w:rsid w:val="00384B27"/>
    <w:rsid w:val="003860D4"/>
    <w:rsid w:val="00386A20"/>
    <w:rsid w:val="0039108D"/>
    <w:rsid w:val="00395F62"/>
    <w:rsid w:val="003962D9"/>
    <w:rsid w:val="00397A48"/>
    <w:rsid w:val="003A0305"/>
    <w:rsid w:val="003A4296"/>
    <w:rsid w:val="003A57E7"/>
    <w:rsid w:val="003B0BA0"/>
    <w:rsid w:val="003B0D3B"/>
    <w:rsid w:val="003B0EBF"/>
    <w:rsid w:val="003B3F57"/>
    <w:rsid w:val="003B4588"/>
    <w:rsid w:val="003B5470"/>
    <w:rsid w:val="003B5860"/>
    <w:rsid w:val="003B7DB4"/>
    <w:rsid w:val="003C20B5"/>
    <w:rsid w:val="003C3693"/>
    <w:rsid w:val="003C3B17"/>
    <w:rsid w:val="003C485A"/>
    <w:rsid w:val="003C4999"/>
    <w:rsid w:val="003C4C1F"/>
    <w:rsid w:val="003D10F4"/>
    <w:rsid w:val="003D2E1C"/>
    <w:rsid w:val="003D508C"/>
    <w:rsid w:val="003D761B"/>
    <w:rsid w:val="003E3145"/>
    <w:rsid w:val="003E69D8"/>
    <w:rsid w:val="003E761A"/>
    <w:rsid w:val="003F040C"/>
    <w:rsid w:val="003F0E26"/>
    <w:rsid w:val="003F118A"/>
    <w:rsid w:val="003F2BBD"/>
    <w:rsid w:val="003F41BD"/>
    <w:rsid w:val="003F4808"/>
    <w:rsid w:val="003F51E2"/>
    <w:rsid w:val="003F5361"/>
    <w:rsid w:val="003F5CB2"/>
    <w:rsid w:val="003F7641"/>
    <w:rsid w:val="0040072D"/>
    <w:rsid w:val="00401011"/>
    <w:rsid w:val="004016D3"/>
    <w:rsid w:val="00401DDD"/>
    <w:rsid w:val="00401FF6"/>
    <w:rsid w:val="00403372"/>
    <w:rsid w:val="004052E5"/>
    <w:rsid w:val="004063A9"/>
    <w:rsid w:val="00417DA1"/>
    <w:rsid w:val="004201F4"/>
    <w:rsid w:val="00420C0A"/>
    <w:rsid w:val="0042117D"/>
    <w:rsid w:val="0042234B"/>
    <w:rsid w:val="0042326F"/>
    <w:rsid w:val="00424303"/>
    <w:rsid w:val="00424413"/>
    <w:rsid w:val="00425780"/>
    <w:rsid w:val="0042770B"/>
    <w:rsid w:val="00427F61"/>
    <w:rsid w:val="004313FC"/>
    <w:rsid w:val="00434A47"/>
    <w:rsid w:val="004377DD"/>
    <w:rsid w:val="00437E39"/>
    <w:rsid w:val="00442E07"/>
    <w:rsid w:val="00445C87"/>
    <w:rsid w:val="00446DB4"/>
    <w:rsid w:val="00451875"/>
    <w:rsid w:val="00453436"/>
    <w:rsid w:val="0045708B"/>
    <w:rsid w:val="004616EB"/>
    <w:rsid w:val="00461890"/>
    <w:rsid w:val="004635D2"/>
    <w:rsid w:val="0046379F"/>
    <w:rsid w:val="00465FEE"/>
    <w:rsid w:val="004664D4"/>
    <w:rsid w:val="00466548"/>
    <w:rsid w:val="00466B26"/>
    <w:rsid w:val="00467995"/>
    <w:rsid w:val="00472CE3"/>
    <w:rsid w:val="0047416F"/>
    <w:rsid w:val="004756E6"/>
    <w:rsid w:val="00476A8D"/>
    <w:rsid w:val="004778A9"/>
    <w:rsid w:val="00481B4D"/>
    <w:rsid w:val="004836E3"/>
    <w:rsid w:val="00484BB0"/>
    <w:rsid w:val="00486FDB"/>
    <w:rsid w:val="00491313"/>
    <w:rsid w:val="004917BF"/>
    <w:rsid w:val="00491E9F"/>
    <w:rsid w:val="00493FD7"/>
    <w:rsid w:val="00494AB4"/>
    <w:rsid w:val="00495998"/>
    <w:rsid w:val="00495D0B"/>
    <w:rsid w:val="00497578"/>
    <w:rsid w:val="004977E7"/>
    <w:rsid w:val="0049797B"/>
    <w:rsid w:val="00497CDB"/>
    <w:rsid w:val="004A32B9"/>
    <w:rsid w:val="004A429E"/>
    <w:rsid w:val="004A533F"/>
    <w:rsid w:val="004A5C8E"/>
    <w:rsid w:val="004B13E3"/>
    <w:rsid w:val="004B2D86"/>
    <w:rsid w:val="004B2E04"/>
    <w:rsid w:val="004B2E0C"/>
    <w:rsid w:val="004B6397"/>
    <w:rsid w:val="004B7E78"/>
    <w:rsid w:val="004C1195"/>
    <w:rsid w:val="004C19AE"/>
    <w:rsid w:val="004C279A"/>
    <w:rsid w:val="004C33FB"/>
    <w:rsid w:val="004C5967"/>
    <w:rsid w:val="004E01D3"/>
    <w:rsid w:val="004E25A9"/>
    <w:rsid w:val="004E438A"/>
    <w:rsid w:val="004F2B80"/>
    <w:rsid w:val="004F2FC4"/>
    <w:rsid w:val="004F33CC"/>
    <w:rsid w:val="004F4749"/>
    <w:rsid w:val="004F63D4"/>
    <w:rsid w:val="004F7533"/>
    <w:rsid w:val="00504C0B"/>
    <w:rsid w:val="00506FC5"/>
    <w:rsid w:val="00511F34"/>
    <w:rsid w:val="00513261"/>
    <w:rsid w:val="00513E70"/>
    <w:rsid w:val="00517794"/>
    <w:rsid w:val="00517A44"/>
    <w:rsid w:val="00520605"/>
    <w:rsid w:val="00521E1F"/>
    <w:rsid w:val="00530BCD"/>
    <w:rsid w:val="00531F02"/>
    <w:rsid w:val="00532EB1"/>
    <w:rsid w:val="00532F21"/>
    <w:rsid w:val="00532FE0"/>
    <w:rsid w:val="00533945"/>
    <w:rsid w:val="00534551"/>
    <w:rsid w:val="00534CFC"/>
    <w:rsid w:val="00535F0F"/>
    <w:rsid w:val="00540200"/>
    <w:rsid w:val="00540710"/>
    <w:rsid w:val="00544149"/>
    <w:rsid w:val="005442E6"/>
    <w:rsid w:val="005456A5"/>
    <w:rsid w:val="00545845"/>
    <w:rsid w:val="005467CE"/>
    <w:rsid w:val="005469E3"/>
    <w:rsid w:val="00547C66"/>
    <w:rsid w:val="00547E09"/>
    <w:rsid w:val="005522EF"/>
    <w:rsid w:val="005527EF"/>
    <w:rsid w:val="00553B9A"/>
    <w:rsid w:val="00554E4F"/>
    <w:rsid w:val="00556FEF"/>
    <w:rsid w:val="005571EF"/>
    <w:rsid w:val="00557B95"/>
    <w:rsid w:val="00563668"/>
    <w:rsid w:val="00564440"/>
    <w:rsid w:val="00565BE5"/>
    <w:rsid w:val="00566FDB"/>
    <w:rsid w:val="00567666"/>
    <w:rsid w:val="005707C0"/>
    <w:rsid w:val="00574B35"/>
    <w:rsid w:val="00575FC7"/>
    <w:rsid w:val="00576AE6"/>
    <w:rsid w:val="005775E0"/>
    <w:rsid w:val="00577DF6"/>
    <w:rsid w:val="00577F1B"/>
    <w:rsid w:val="00581EB5"/>
    <w:rsid w:val="00583900"/>
    <w:rsid w:val="00583D9A"/>
    <w:rsid w:val="005857BF"/>
    <w:rsid w:val="0059008C"/>
    <w:rsid w:val="00593D90"/>
    <w:rsid w:val="005A041C"/>
    <w:rsid w:val="005A4494"/>
    <w:rsid w:val="005B0031"/>
    <w:rsid w:val="005B056C"/>
    <w:rsid w:val="005B1A67"/>
    <w:rsid w:val="005B2A3B"/>
    <w:rsid w:val="005B4B5A"/>
    <w:rsid w:val="005B578C"/>
    <w:rsid w:val="005B5F97"/>
    <w:rsid w:val="005B6B6D"/>
    <w:rsid w:val="005B7F62"/>
    <w:rsid w:val="005C031C"/>
    <w:rsid w:val="005C0B38"/>
    <w:rsid w:val="005C1D9D"/>
    <w:rsid w:val="005C3DC0"/>
    <w:rsid w:val="005C6152"/>
    <w:rsid w:val="005C653C"/>
    <w:rsid w:val="005C697D"/>
    <w:rsid w:val="005C7422"/>
    <w:rsid w:val="005D0531"/>
    <w:rsid w:val="005D25F9"/>
    <w:rsid w:val="005D49E8"/>
    <w:rsid w:val="005D4FE5"/>
    <w:rsid w:val="005E00FD"/>
    <w:rsid w:val="005E4BA1"/>
    <w:rsid w:val="005E522F"/>
    <w:rsid w:val="005E6267"/>
    <w:rsid w:val="005E657B"/>
    <w:rsid w:val="005E6CDA"/>
    <w:rsid w:val="005F1365"/>
    <w:rsid w:val="005F7359"/>
    <w:rsid w:val="00600BB6"/>
    <w:rsid w:val="00602191"/>
    <w:rsid w:val="006025A3"/>
    <w:rsid w:val="0060390B"/>
    <w:rsid w:val="0060448F"/>
    <w:rsid w:val="006142C3"/>
    <w:rsid w:val="00615125"/>
    <w:rsid w:val="00617508"/>
    <w:rsid w:val="0062003E"/>
    <w:rsid w:val="00627805"/>
    <w:rsid w:val="0063203D"/>
    <w:rsid w:val="00632934"/>
    <w:rsid w:val="006345B5"/>
    <w:rsid w:val="006354DF"/>
    <w:rsid w:val="0063579E"/>
    <w:rsid w:val="00637A82"/>
    <w:rsid w:val="00637CDD"/>
    <w:rsid w:val="00640625"/>
    <w:rsid w:val="006418D8"/>
    <w:rsid w:val="00641DAE"/>
    <w:rsid w:val="00645564"/>
    <w:rsid w:val="0064632E"/>
    <w:rsid w:val="00646AE2"/>
    <w:rsid w:val="00654B63"/>
    <w:rsid w:val="00654B71"/>
    <w:rsid w:val="00660800"/>
    <w:rsid w:val="006630D6"/>
    <w:rsid w:val="006658A4"/>
    <w:rsid w:val="0066701C"/>
    <w:rsid w:val="00667D0B"/>
    <w:rsid w:val="00672FD5"/>
    <w:rsid w:val="006736E4"/>
    <w:rsid w:val="00677F80"/>
    <w:rsid w:val="006800DA"/>
    <w:rsid w:val="00682BD1"/>
    <w:rsid w:val="0068512B"/>
    <w:rsid w:val="00685A95"/>
    <w:rsid w:val="00686C7D"/>
    <w:rsid w:val="00690FD5"/>
    <w:rsid w:val="00691A42"/>
    <w:rsid w:val="00691EAD"/>
    <w:rsid w:val="0069270E"/>
    <w:rsid w:val="00695DE2"/>
    <w:rsid w:val="006963BE"/>
    <w:rsid w:val="00696561"/>
    <w:rsid w:val="0069698E"/>
    <w:rsid w:val="006A1037"/>
    <w:rsid w:val="006A230E"/>
    <w:rsid w:val="006A29DF"/>
    <w:rsid w:val="006A7126"/>
    <w:rsid w:val="006A7C63"/>
    <w:rsid w:val="006B1660"/>
    <w:rsid w:val="006B19BD"/>
    <w:rsid w:val="006B2A2E"/>
    <w:rsid w:val="006B51F0"/>
    <w:rsid w:val="006B7AF1"/>
    <w:rsid w:val="006B7D81"/>
    <w:rsid w:val="006C2745"/>
    <w:rsid w:val="006C292D"/>
    <w:rsid w:val="006C5353"/>
    <w:rsid w:val="006C5FEE"/>
    <w:rsid w:val="006C7247"/>
    <w:rsid w:val="006D39AA"/>
    <w:rsid w:val="006D49A2"/>
    <w:rsid w:val="006D5D86"/>
    <w:rsid w:val="006D6865"/>
    <w:rsid w:val="006E08AF"/>
    <w:rsid w:val="006E3193"/>
    <w:rsid w:val="006E3307"/>
    <w:rsid w:val="006E3D05"/>
    <w:rsid w:val="006E6E24"/>
    <w:rsid w:val="006F0ABE"/>
    <w:rsid w:val="006F2332"/>
    <w:rsid w:val="006F32A7"/>
    <w:rsid w:val="00700364"/>
    <w:rsid w:val="00700C65"/>
    <w:rsid w:val="00702A61"/>
    <w:rsid w:val="00702F70"/>
    <w:rsid w:val="0070544C"/>
    <w:rsid w:val="00710CEB"/>
    <w:rsid w:val="00712DB1"/>
    <w:rsid w:val="00713250"/>
    <w:rsid w:val="00714739"/>
    <w:rsid w:val="007150EE"/>
    <w:rsid w:val="007153CF"/>
    <w:rsid w:val="007159FD"/>
    <w:rsid w:val="00717BE0"/>
    <w:rsid w:val="00721A91"/>
    <w:rsid w:val="0072520F"/>
    <w:rsid w:val="00726EA6"/>
    <w:rsid w:val="007327AF"/>
    <w:rsid w:val="00732B50"/>
    <w:rsid w:val="00736EDA"/>
    <w:rsid w:val="00737575"/>
    <w:rsid w:val="007459E4"/>
    <w:rsid w:val="0074638F"/>
    <w:rsid w:val="00747031"/>
    <w:rsid w:val="00750E3F"/>
    <w:rsid w:val="00750E9F"/>
    <w:rsid w:val="00752656"/>
    <w:rsid w:val="00752A4C"/>
    <w:rsid w:val="00753FF1"/>
    <w:rsid w:val="00754D17"/>
    <w:rsid w:val="007550E5"/>
    <w:rsid w:val="007574B6"/>
    <w:rsid w:val="00757ABD"/>
    <w:rsid w:val="0076154A"/>
    <w:rsid w:val="00762E3C"/>
    <w:rsid w:val="0076516A"/>
    <w:rsid w:val="00765B74"/>
    <w:rsid w:val="00766361"/>
    <w:rsid w:val="00766D7B"/>
    <w:rsid w:val="007704F4"/>
    <w:rsid w:val="007743EE"/>
    <w:rsid w:val="00776594"/>
    <w:rsid w:val="00785C06"/>
    <w:rsid w:val="00786068"/>
    <w:rsid w:val="0078675A"/>
    <w:rsid w:val="007922DF"/>
    <w:rsid w:val="007923B1"/>
    <w:rsid w:val="00793131"/>
    <w:rsid w:val="00794CF5"/>
    <w:rsid w:val="00796340"/>
    <w:rsid w:val="007B17C6"/>
    <w:rsid w:val="007B1B59"/>
    <w:rsid w:val="007B3289"/>
    <w:rsid w:val="007B3933"/>
    <w:rsid w:val="007B51FD"/>
    <w:rsid w:val="007B5D0E"/>
    <w:rsid w:val="007B6129"/>
    <w:rsid w:val="007B72BC"/>
    <w:rsid w:val="007C03F2"/>
    <w:rsid w:val="007C307B"/>
    <w:rsid w:val="007C6BE3"/>
    <w:rsid w:val="007C6F15"/>
    <w:rsid w:val="007D4EA7"/>
    <w:rsid w:val="007D64C7"/>
    <w:rsid w:val="007D66A9"/>
    <w:rsid w:val="007D738D"/>
    <w:rsid w:val="007D7942"/>
    <w:rsid w:val="007D7E87"/>
    <w:rsid w:val="007E6EC5"/>
    <w:rsid w:val="007F0AB8"/>
    <w:rsid w:val="007F0AE0"/>
    <w:rsid w:val="007F3B60"/>
    <w:rsid w:val="007F3B95"/>
    <w:rsid w:val="007F55B5"/>
    <w:rsid w:val="007F5845"/>
    <w:rsid w:val="007F641B"/>
    <w:rsid w:val="00802C2B"/>
    <w:rsid w:val="00802EDB"/>
    <w:rsid w:val="008032E8"/>
    <w:rsid w:val="008035BE"/>
    <w:rsid w:val="00803D77"/>
    <w:rsid w:val="008046D4"/>
    <w:rsid w:val="00804A68"/>
    <w:rsid w:val="00805C9D"/>
    <w:rsid w:val="00805E7C"/>
    <w:rsid w:val="00807AFA"/>
    <w:rsid w:val="008108BE"/>
    <w:rsid w:val="0081341D"/>
    <w:rsid w:val="008148D3"/>
    <w:rsid w:val="00815D76"/>
    <w:rsid w:val="008170A7"/>
    <w:rsid w:val="008251F0"/>
    <w:rsid w:val="008253ED"/>
    <w:rsid w:val="00825402"/>
    <w:rsid w:val="00826C81"/>
    <w:rsid w:val="00827EB0"/>
    <w:rsid w:val="00830519"/>
    <w:rsid w:val="0083258B"/>
    <w:rsid w:val="00832971"/>
    <w:rsid w:val="008331EE"/>
    <w:rsid w:val="00836783"/>
    <w:rsid w:val="00844B7C"/>
    <w:rsid w:val="00846F6E"/>
    <w:rsid w:val="00847AD0"/>
    <w:rsid w:val="0085008C"/>
    <w:rsid w:val="008502D8"/>
    <w:rsid w:val="00850D4C"/>
    <w:rsid w:val="008514E5"/>
    <w:rsid w:val="00852195"/>
    <w:rsid w:val="00853654"/>
    <w:rsid w:val="00854513"/>
    <w:rsid w:val="00861791"/>
    <w:rsid w:val="00862E53"/>
    <w:rsid w:val="00863187"/>
    <w:rsid w:val="00865758"/>
    <w:rsid w:val="00867AC1"/>
    <w:rsid w:val="00871BF3"/>
    <w:rsid w:val="008727B8"/>
    <w:rsid w:val="0087290E"/>
    <w:rsid w:val="00872A57"/>
    <w:rsid w:val="00873BDB"/>
    <w:rsid w:val="00876107"/>
    <w:rsid w:val="008762F2"/>
    <w:rsid w:val="00876DA0"/>
    <w:rsid w:val="00877161"/>
    <w:rsid w:val="008801DD"/>
    <w:rsid w:val="00880883"/>
    <w:rsid w:val="008809F4"/>
    <w:rsid w:val="00883F17"/>
    <w:rsid w:val="00884D1E"/>
    <w:rsid w:val="008859DF"/>
    <w:rsid w:val="00886692"/>
    <w:rsid w:val="008907C1"/>
    <w:rsid w:val="00890DEC"/>
    <w:rsid w:val="0089110D"/>
    <w:rsid w:val="008914B0"/>
    <w:rsid w:val="00895BBD"/>
    <w:rsid w:val="008965B3"/>
    <w:rsid w:val="008A3729"/>
    <w:rsid w:val="008A3ED5"/>
    <w:rsid w:val="008A537F"/>
    <w:rsid w:val="008A539C"/>
    <w:rsid w:val="008A5C71"/>
    <w:rsid w:val="008A793E"/>
    <w:rsid w:val="008B0973"/>
    <w:rsid w:val="008B406C"/>
    <w:rsid w:val="008B4DB6"/>
    <w:rsid w:val="008B6709"/>
    <w:rsid w:val="008B6C39"/>
    <w:rsid w:val="008C2DEC"/>
    <w:rsid w:val="008C2FD0"/>
    <w:rsid w:val="008C42BB"/>
    <w:rsid w:val="008C4770"/>
    <w:rsid w:val="008D56BF"/>
    <w:rsid w:val="008D6927"/>
    <w:rsid w:val="008E0C1F"/>
    <w:rsid w:val="008E15EE"/>
    <w:rsid w:val="008E60D3"/>
    <w:rsid w:val="008E629B"/>
    <w:rsid w:val="008E77CA"/>
    <w:rsid w:val="008F0F5E"/>
    <w:rsid w:val="008F3BAB"/>
    <w:rsid w:val="008F453D"/>
    <w:rsid w:val="008F582B"/>
    <w:rsid w:val="008F5C7B"/>
    <w:rsid w:val="008F7635"/>
    <w:rsid w:val="00901DF9"/>
    <w:rsid w:val="0090519A"/>
    <w:rsid w:val="00905D90"/>
    <w:rsid w:val="00906783"/>
    <w:rsid w:val="00910539"/>
    <w:rsid w:val="00917B88"/>
    <w:rsid w:val="00917BB9"/>
    <w:rsid w:val="009209A5"/>
    <w:rsid w:val="0092645F"/>
    <w:rsid w:val="009268A2"/>
    <w:rsid w:val="009403D1"/>
    <w:rsid w:val="009419C8"/>
    <w:rsid w:val="00944AF8"/>
    <w:rsid w:val="0094664E"/>
    <w:rsid w:val="00950F90"/>
    <w:rsid w:val="00954F17"/>
    <w:rsid w:val="0095788D"/>
    <w:rsid w:val="00962450"/>
    <w:rsid w:val="00962D2D"/>
    <w:rsid w:val="009634B7"/>
    <w:rsid w:val="00963B92"/>
    <w:rsid w:val="00963C63"/>
    <w:rsid w:val="00964F3C"/>
    <w:rsid w:val="009670A6"/>
    <w:rsid w:val="00967284"/>
    <w:rsid w:val="009716B7"/>
    <w:rsid w:val="0097290F"/>
    <w:rsid w:val="00976AB8"/>
    <w:rsid w:val="009821FD"/>
    <w:rsid w:val="00982204"/>
    <w:rsid w:val="0098380F"/>
    <w:rsid w:val="00985FCB"/>
    <w:rsid w:val="00986A35"/>
    <w:rsid w:val="009918B9"/>
    <w:rsid w:val="0099286C"/>
    <w:rsid w:val="0099376F"/>
    <w:rsid w:val="00995241"/>
    <w:rsid w:val="009960BE"/>
    <w:rsid w:val="009A1D8B"/>
    <w:rsid w:val="009A21D6"/>
    <w:rsid w:val="009A3652"/>
    <w:rsid w:val="009A44A2"/>
    <w:rsid w:val="009A5029"/>
    <w:rsid w:val="009A5AA2"/>
    <w:rsid w:val="009B06BB"/>
    <w:rsid w:val="009B35EE"/>
    <w:rsid w:val="009B48FC"/>
    <w:rsid w:val="009B50BF"/>
    <w:rsid w:val="009B6D5A"/>
    <w:rsid w:val="009C3AE6"/>
    <w:rsid w:val="009D1D78"/>
    <w:rsid w:val="009D3D28"/>
    <w:rsid w:val="009D6B2B"/>
    <w:rsid w:val="009E1308"/>
    <w:rsid w:val="009E3531"/>
    <w:rsid w:val="009E3538"/>
    <w:rsid w:val="009E52D2"/>
    <w:rsid w:val="009E5F0D"/>
    <w:rsid w:val="009F3B80"/>
    <w:rsid w:val="009F47E1"/>
    <w:rsid w:val="009F7DC3"/>
    <w:rsid w:val="009F7F51"/>
    <w:rsid w:val="00A03E1B"/>
    <w:rsid w:val="00A100B7"/>
    <w:rsid w:val="00A11C83"/>
    <w:rsid w:val="00A1249F"/>
    <w:rsid w:val="00A15145"/>
    <w:rsid w:val="00A16D21"/>
    <w:rsid w:val="00A1706B"/>
    <w:rsid w:val="00A2268B"/>
    <w:rsid w:val="00A236F7"/>
    <w:rsid w:val="00A24E80"/>
    <w:rsid w:val="00A26D64"/>
    <w:rsid w:val="00A26E34"/>
    <w:rsid w:val="00A27E5E"/>
    <w:rsid w:val="00A3287F"/>
    <w:rsid w:val="00A36DF0"/>
    <w:rsid w:val="00A36E67"/>
    <w:rsid w:val="00A40271"/>
    <w:rsid w:val="00A41B13"/>
    <w:rsid w:val="00A42118"/>
    <w:rsid w:val="00A429E1"/>
    <w:rsid w:val="00A43031"/>
    <w:rsid w:val="00A44F4E"/>
    <w:rsid w:val="00A458CD"/>
    <w:rsid w:val="00A45FDB"/>
    <w:rsid w:val="00A4728B"/>
    <w:rsid w:val="00A478DA"/>
    <w:rsid w:val="00A542C3"/>
    <w:rsid w:val="00A57783"/>
    <w:rsid w:val="00A61FEC"/>
    <w:rsid w:val="00A64A2E"/>
    <w:rsid w:val="00A65310"/>
    <w:rsid w:val="00A67330"/>
    <w:rsid w:val="00A70C9B"/>
    <w:rsid w:val="00A726D0"/>
    <w:rsid w:val="00A74725"/>
    <w:rsid w:val="00A74FE9"/>
    <w:rsid w:val="00A80073"/>
    <w:rsid w:val="00A834DB"/>
    <w:rsid w:val="00A83AE5"/>
    <w:rsid w:val="00A865B4"/>
    <w:rsid w:val="00A868C3"/>
    <w:rsid w:val="00A91662"/>
    <w:rsid w:val="00A94F19"/>
    <w:rsid w:val="00A95469"/>
    <w:rsid w:val="00A9604E"/>
    <w:rsid w:val="00AA01B9"/>
    <w:rsid w:val="00AA3099"/>
    <w:rsid w:val="00AA4F99"/>
    <w:rsid w:val="00AA63E5"/>
    <w:rsid w:val="00AA77DB"/>
    <w:rsid w:val="00AB0AE2"/>
    <w:rsid w:val="00AB6E3E"/>
    <w:rsid w:val="00AC0366"/>
    <w:rsid w:val="00AC669D"/>
    <w:rsid w:val="00AD10BC"/>
    <w:rsid w:val="00AD18D8"/>
    <w:rsid w:val="00AD1DA3"/>
    <w:rsid w:val="00AD2A9F"/>
    <w:rsid w:val="00AD48F7"/>
    <w:rsid w:val="00AD5061"/>
    <w:rsid w:val="00AD5B40"/>
    <w:rsid w:val="00AE0242"/>
    <w:rsid w:val="00AE03F3"/>
    <w:rsid w:val="00AE2412"/>
    <w:rsid w:val="00AE435E"/>
    <w:rsid w:val="00AE47C9"/>
    <w:rsid w:val="00AE5A3E"/>
    <w:rsid w:val="00AF316A"/>
    <w:rsid w:val="00AF3C09"/>
    <w:rsid w:val="00AF3CBE"/>
    <w:rsid w:val="00AF401F"/>
    <w:rsid w:val="00AF4E3A"/>
    <w:rsid w:val="00AF4EFB"/>
    <w:rsid w:val="00AF5AD7"/>
    <w:rsid w:val="00AF6D74"/>
    <w:rsid w:val="00B05DA1"/>
    <w:rsid w:val="00B0716F"/>
    <w:rsid w:val="00B0775D"/>
    <w:rsid w:val="00B13071"/>
    <w:rsid w:val="00B1327C"/>
    <w:rsid w:val="00B26205"/>
    <w:rsid w:val="00B26693"/>
    <w:rsid w:val="00B26FD9"/>
    <w:rsid w:val="00B30AAA"/>
    <w:rsid w:val="00B313BC"/>
    <w:rsid w:val="00B33B3E"/>
    <w:rsid w:val="00B35684"/>
    <w:rsid w:val="00B363B9"/>
    <w:rsid w:val="00B36D8D"/>
    <w:rsid w:val="00B4001F"/>
    <w:rsid w:val="00B40B0D"/>
    <w:rsid w:val="00B42A34"/>
    <w:rsid w:val="00B45406"/>
    <w:rsid w:val="00B456A0"/>
    <w:rsid w:val="00B4657E"/>
    <w:rsid w:val="00B51D34"/>
    <w:rsid w:val="00B52DE3"/>
    <w:rsid w:val="00B55112"/>
    <w:rsid w:val="00B56F04"/>
    <w:rsid w:val="00B57F76"/>
    <w:rsid w:val="00B60461"/>
    <w:rsid w:val="00B60647"/>
    <w:rsid w:val="00B654C2"/>
    <w:rsid w:val="00B667E0"/>
    <w:rsid w:val="00B70EFC"/>
    <w:rsid w:val="00B72B59"/>
    <w:rsid w:val="00B80DF7"/>
    <w:rsid w:val="00B8209E"/>
    <w:rsid w:val="00B86A08"/>
    <w:rsid w:val="00B86A7F"/>
    <w:rsid w:val="00B902AD"/>
    <w:rsid w:val="00B912FB"/>
    <w:rsid w:val="00B91D6B"/>
    <w:rsid w:val="00B92726"/>
    <w:rsid w:val="00BA095F"/>
    <w:rsid w:val="00BA245E"/>
    <w:rsid w:val="00BA3AE1"/>
    <w:rsid w:val="00BA4418"/>
    <w:rsid w:val="00BA61ED"/>
    <w:rsid w:val="00BA63FA"/>
    <w:rsid w:val="00BA6905"/>
    <w:rsid w:val="00BA7DF8"/>
    <w:rsid w:val="00BB645E"/>
    <w:rsid w:val="00BB78F9"/>
    <w:rsid w:val="00BC16A3"/>
    <w:rsid w:val="00BC2282"/>
    <w:rsid w:val="00BC355A"/>
    <w:rsid w:val="00BC3EEC"/>
    <w:rsid w:val="00BC58B3"/>
    <w:rsid w:val="00BC7331"/>
    <w:rsid w:val="00BC7763"/>
    <w:rsid w:val="00BD075A"/>
    <w:rsid w:val="00BD16F5"/>
    <w:rsid w:val="00BD4598"/>
    <w:rsid w:val="00BD4E43"/>
    <w:rsid w:val="00BD57E5"/>
    <w:rsid w:val="00BD646C"/>
    <w:rsid w:val="00BD7078"/>
    <w:rsid w:val="00BE0A89"/>
    <w:rsid w:val="00BE12DE"/>
    <w:rsid w:val="00BE1989"/>
    <w:rsid w:val="00BE1B25"/>
    <w:rsid w:val="00BE38BF"/>
    <w:rsid w:val="00BE3BEE"/>
    <w:rsid w:val="00BE53D7"/>
    <w:rsid w:val="00BE6879"/>
    <w:rsid w:val="00BE6C47"/>
    <w:rsid w:val="00BE6E8C"/>
    <w:rsid w:val="00BF0900"/>
    <w:rsid w:val="00BF16A6"/>
    <w:rsid w:val="00BF1E09"/>
    <w:rsid w:val="00BF302E"/>
    <w:rsid w:val="00BF3B57"/>
    <w:rsid w:val="00BF5369"/>
    <w:rsid w:val="00C0676D"/>
    <w:rsid w:val="00C10E4A"/>
    <w:rsid w:val="00C1188D"/>
    <w:rsid w:val="00C173E0"/>
    <w:rsid w:val="00C17E9E"/>
    <w:rsid w:val="00C20402"/>
    <w:rsid w:val="00C26911"/>
    <w:rsid w:val="00C33C5A"/>
    <w:rsid w:val="00C3480C"/>
    <w:rsid w:val="00C35FAD"/>
    <w:rsid w:val="00C37190"/>
    <w:rsid w:val="00C42030"/>
    <w:rsid w:val="00C42C3B"/>
    <w:rsid w:val="00C44EDC"/>
    <w:rsid w:val="00C50DB7"/>
    <w:rsid w:val="00C55680"/>
    <w:rsid w:val="00C57F7D"/>
    <w:rsid w:val="00C62CB2"/>
    <w:rsid w:val="00C65A91"/>
    <w:rsid w:val="00C66845"/>
    <w:rsid w:val="00C713DC"/>
    <w:rsid w:val="00C7373B"/>
    <w:rsid w:val="00C74DC9"/>
    <w:rsid w:val="00C76400"/>
    <w:rsid w:val="00C82BAD"/>
    <w:rsid w:val="00C82FAB"/>
    <w:rsid w:val="00C8317F"/>
    <w:rsid w:val="00C851F4"/>
    <w:rsid w:val="00C91174"/>
    <w:rsid w:val="00C9240A"/>
    <w:rsid w:val="00C92A35"/>
    <w:rsid w:val="00C93957"/>
    <w:rsid w:val="00C94965"/>
    <w:rsid w:val="00C954BF"/>
    <w:rsid w:val="00C95C92"/>
    <w:rsid w:val="00CA2100"/>
    <w:rsid w:val="00CA3772"/>
    <w:rsid w:val="00CB3ED0"/>
    <w:rsid w:val="00CB5D58"/>
    <w:rsid w:val="00CB6013"/>
    <w:rsid w:val="00CC20DC"/>
    <w:rsid w:val="00CC3B35"/>
    <w:rsid w:val="00CC3DFA"/>
    <w:rsid w:val="00CC40BC"/>
    <w:rsid w:val="00CD624F"/>
    <w:rsid w:val="00CE02E0"/>
    <w:rsid w:val="00CE0835"/>
    <w:rsid w:val="00CE1DF6"/>
    <w:rsid w:val="00CF2311"/>
    <w:rsid w:val="00CF5116"/>
    <w:rsid w:val="00CF5AE9"/>
    <w:rsid w:val="00CF6ACC"/>
    <w:rsid w:val="00CF7A78"/>
    <w:rsid w:val="00D001BD"/>
    <w:rsid w:val="00D0193F"/>
    <w:rsid w:val="00D02099"/>
    <w:rsid w:val="00D05596"/>
    <w:rsid w:val="00D10E10"/>
    <w:rsid w:val="00D11725"/>
    <w:rsid w:val="00D15881"/>
    <w:rsid w:val="00D15E4C"/>
    <w:rsid w:val="00D1785E"/>
    <w:rsid w:val="00D17953"/>
    <w:rsid w:val="00D21103"/>
    <w:rsid w:val="00D22873"/>
    <w:rsid w:val="00D22AFD"/>
    <w:rsid w:val="00D22BB2"/>
    <w:rsid w:val="00D23F76"/>
    <w:rsid w:val="00D24118"/>
    <w:rsid w:val="00D24C15"/>
    <w:rsid w:val="00D24E18"/>
    <w:rsid w:val="00D31845"/>
    <w:rsid w:val="00D31E53"/>
    <w:rsid w:val="00D33AE8"/>
    <w:rsid w:val="00D350ED"/>
    <w:rsid w:val="00D355A6"/>
    <w:rsid w:val="00D411BC"/>
    <w:rsid w:val="00D411EB"/>
    <w:rsid w:val="00D41656"/>
    <w:rsid w:val="00D44309"/>
    <w:rsid w:val="00D44724"/>
    <w:rsid w:val="00D44FAC"/>
    <w:rsid w:val="00D46131"/>
    <w:rsid w:val="00D47820"/>
    <w:rsid w:val="00D47BD2"/>
    <w:rsid w:val="00D51D32"/>
    <w:rsid w:val="00D54CCE"/>
    <w:rsid w:val="00D55B26"/>
    <w:rsid w:val="00D56622"/>
    <w:rsid w:val="00D57D7F"/>
    <w:rsid w:val="00D61DD6"/>
    <w:rsid w:val="00D63377"/>
    <w:rsid w:val="00D64715"/>
    <w:rsid w:val="00D655DE"/>
    <w:rsid w:val="00D674A1"/>
    <w:rsid w:val="00D7475B"/>
    <w:rsid w:val="00D76480"/>
    <w:rsid w:val="00D77011"/>
    <w:rsid w:val="00D80044"/>
    <w:rsid w:val="00D8173F"/>
    <w:rsid w:val="00D845B4"/>
    <w:rsid w:val="00D956B8"/>
    <w:rsid w:val="00D95ED4"/>
    <w:rsid w:val="00D9617D"/>
    <w:rsid w:val="00D96E5A"/>
    <w:rsid w:val="00DA4CD3"/>
    <w:rsid w:val="00DA50A8"/>
    <w:rsid w:val="00DA59A8"/>
    <w:rsid w:val="00DA6BEF"/>
    <w:rsid w:val="00DB0DF7"/>
    <w:rsid w:val="00DB36B1"/>
    <w:rsid w:val="00DB4CE2"/>
    <w:rsid w:val="00DC12FD"/>
    <w:rsid w:val="00DC17C1"/>
    <w:rsid w:val="00DC194C"/>
    <w:rsid w:val="00DC3DBE"/>
    <w:rsid w:val="00DD074D"/>
    <w:rsid w:val="00DD0804"/>
    <w:rsid w:val="00DD7C98"/>
    <w:rsid w:val="00DE46E0"/>
    <w:rsid w:val="00DE532E"/>
    <w:rsid w:val="00DE5F03"/>
    <w:rsid w:val="00DF014A"/>
    <w:rsid w:val="00DF0A80"/>
    <w:rsid w:val="00DF1026"/>
    <w:rsid w:val="00DF15A7"/>
    <w:rsid w:val="00DF5014"/>
    <w:rsid w:val="00DF576C"/>
    <w:rsid w:val="00E015CD"/>
    <w:rsid w:val="00E0244C"/>
    <w:rsid w:val="00E03697"/>
    <w:rsid w:val="00E03848"/>
    <w:rsid w:val="00E076E8"/>
    <w:rsid w:val="00E100CE"/>
    <w:rsid w:val="00E11BC7"/>
    <w:rsid w:val="00E12CC1"/>
    <w:rsid w:val="00E14480"/>
    <w:rsid w:val="00E14C5F"/>
    <w:rsid w:val="00E215BE"/>
    <w:rsid w:val="00E21F4D"/>
    <w:rsid w:val="00E23133"/>
    <w:rsid w:val="00E25558"/>
    <w:rsid w:val="00E259FA"/>
    <w:rsid w:val="00E26955"/>
    <w:rsid w:val="00E3008C"/>
    <w:rsid w:val="00E3115F"/>
    <w:rsid w:val="00E345DB"/>
    <w:rsid w:val="00E345F5"/>
    <w:rsid w:val="00E34B62"/>
    <w:rsid w:val="00E35CEF"/>
    <w:rsid w:val="00E3793E"/>
    <w:rsid w:val="00E40CEE"/>
    <w:rsid w:val="00E41333"/>
    <w:rsid w:val="00E41B5F"/>
    <w:rsid w:val="00E42496"/>
    <w:rsid w:val="00E43EBA"/>
    <w:rsid w:val="00E442DD"/>
    <w:rsid w:val="00E451B3"/>
    <w:rsid w:val="00E47442"/>
    <w:rsid w:val="00E5059F"/>
    <w:rsid w:val="00E52733"/>
    <w:rsid w:val="00E5371B"/>
    <w:rsid w:val="00E54084"/>
    <w:rsid w:val="00E574A2"/>
    <w:rsid w:val="00E57D0F"/>
    <w:rsid w:val="00E604C4"/>
    <w:rsid w:val="00E638AD"/>
    <w:rsid w:val="00E6390B"/>
    <w:rsid w:val="00E64693"/>
    <w:rsid w:val="00E65072"/>
    <w:rsid w:val="00E85DDB"/>
    <w:rsid w:val="00E86275"/>
    <w:rsid w:val="00E869C8"/>
    <w:rsid w:val="00E9168C"/>
    <w:rsid w:val="00E91C13"/>
    <w:rsid w:val="00E91C99"/>
    <w:rsid w:val="00E9371E"/>
    <w:rsid w:val="00E96215"/>
    <w:rsid w:val="00E9709E"/>
    <w:rsid w:val="00E97CA7"/>
    <w:rsid w:val="00EA207E"/>
    <w:rsid w:val="00EA332E"/>
    <w:rsid w:val="00EA37BC"/>
    <w:rsid w:val="00EA3ABC"/>
    <w:rsid w:val="00EA3CAB"/>
    <w:rsid w:val="00EA4898"/>
    <w:rsid w:val="00EA6167"/>
    <w:rsid w:val="00EA76CB"/>
    <w:rsid w:val="00EB0B4C"/>
    <w:rsid w:val="00EB3505"/>
    <w:rsid w:val="00EB59E8"/>
    <w:rsid w:val="00EB6A7F"/>
    <w:rsid w:val="00EB6E21"/>
    <w:rsid w:val="00EC135A"/>
    <w:rsid w:val="00EC257F"/>
    <w:rsid w:val="00EC55E2"/>
    <w:rsid w:val="00ED04BC"/>
    <w:rsid w:val="00ED1BD8"/>
    <w:rsid w:val="00ED4DAE"/>
    <w:rsid w:val="00ED53A7"/>
    <w:rsid w:val="00ED6EB0"/>
    <w:rsid w:val="00EE09C5"/>
    <w:rsid w:val="00EE324E"/>
    <w:rsid w:val="00EE3852"/>
    <w:rsid w:val="00EE60CB"/>
    <w:rsid w:val="00EF0879"/>
    <w:rsid w:val="00EF0D34"/>
    <w:rsid w:val="00EF4B77"/>
    <w:rsid w:val="00EF537A"/>
    <w:rsid w:val="00EF66B3"/>
    <w:rsid w:val="00EF6B8B"/>
    <w:rsid w:val="00F0371E"/>
    <w:rsid w:val="00F0471A"/>
    <w:rsid w:val="00F107D0"/>
    <w:rsid w:val="00F12ABC"/>
    <w:rsid w:val="00F13087"/>
    <w:rsid w:val="00F1340C"/>
    <w:rsid w:val="00F176D3"/>
    <w:rsid w:val="00F177A1"/>
    <w:rsid w:val="00F22CF6"/>
    <w:rsid w:val="00F231F0"/>
    <w:rsid w:val="00F25AB8"/>
    <w:rsid w:val="00F26892"/>
    <w:rsid w:val="00F26B33"/>
    <w:rsid w:val="00F27924"/>
    <w:rsid w:val="00F31860"/>
    <w:rsid w:val="00F32CE2"/>
    <w:rsid w:val="00F44434"/>
    <w:rsid w:val="00F44AEE"/>
    <w:rsid w:val="00F46B51"/>
    <w:rsid w:val="00F46FB6"/>
    <w:rsid w:val="00F47788"/>
    <w:rsid w:val="00F47F10"/>
    <w:rsid w:val="00F50650"/>
    <w:rsid w:val="00F523DF"/>
    <w:rsid w:val="00F525CD"/>
    <w:rsid w:val="00F52D49"/>
    <w:rsid w:val="00F53800"/>
    <w:rsid w:val="00F552A0"/>
    <w:rsid w:val="00F55606"/>
    <w:rsid w:val="00F5595C"/>
    <w:rsid w:val="00F56851"/>
    <w:rsid w:val="00F61C64"/>
    <w:rsid w:val="00F6346D"/>
    <w:rsid w:val="00F63C01"/>
    <w:rsid w:val="00F70E30"/>
    <w:rsid w:val="00F70FC6"/>
    <w:rsid w:val="00F74F9E"/>
    <w:rsid w:val="00F750FF"/>
    <w:rsid w:val="00F77023"/>
    <w:rsid w:val="00F7727B"/>
    <w:rsid w:val="00F80019"/>
    <w:rsid w:val="00F86343"/>
    <w:rsid w:val="00F87A91"/>
    <w:rsid w:val="00F94B56"/>
    <w:rsid w:val="00F96C0C"/>
    <w:rsid w:val="00FA09B5"/>
    <w:rsid w:val="00FA2FEC"/>
    <w:rsid w:val="00FA511F"/>
    <w:rsid w:val="00FA59EE"/>
    <w:rsid w:val="00FA6B58"/>
    <w:rsid w:val="00FB081C"/>
    <w:rsid w:val="00FB11C4"/>
    <w:rsid w:val="00FB2C3F"/>
    <w:rsid w:val="00FB539C"/>
    <w:rsid w:val="00FB5E87"/>
    <w:rsid w:val="00FC15CF"/>
    <w:rsid w:val="00FC2B50"/>
    <w:rsid w:val="00FC42CB"/>
    <w:rsid w:val="00FC4D47"/>
    <w:rsid w:val="00FC5911"/>
    <w:rsid w:val="00FC600F"/>
    <w:rsid w:val="00FC7315"/>
    <w:rsid w:val="00FD22EB"/>
    <w:rsid w:val="00FD3C7C"/>
    <w:rsid w:val="00FD3DEB"/>
    <w:rsid w:val="00FD5087"/>
    <w:rsid w:val="00FD54EB"/>
    <w:rsid w:val="00FD55E8"/>
    <w:rsid w:val="00FD7037"/>
    <w:rsid w:val="00FE0C2F"/>
    <w:rsid w:val="00FE111F"/>
    <w:rsid w:val="00FE1B13"/>
    <w:rsid w:val="00FE1D53"/>
    <w:rsid w:val="00FE585A"/>
    <w:rsid w:val="00FE5D58"/>
    <w:rsid w:val="00FE79B9"/>
    <w:rsid w:val="00FF1609"/>
    <w:rsid w:val="00FF2A80"/>
    <w:rsid w:val="00FF3CB8"/>
    <w:rsid w:val="00FF4C94"/>
    <w:rsid w:val="00FF71E7"/>
    <w:rsid w:val="00FF775B"/>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F9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0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0AD"/>
    <w:rPr>
      <w:rFonts w:ascii="Tahoma" w:hAnsi="Tahoma" w:cs="Tahoma"/>
      <w:sz w:val="16"/>
      <w:szCs w:val="16"/>
    </w:rPr>
  </w:style>
  <w:style w:type="paragraph" w:styleId="FootnoteText">
    <w:name w:val="footnote text"/>
    <w:basedOn w:val="Normal"/>
    <w:link w:val="FootnoteTextChar"/>
    <w:uiPriority w:val="99"/>
    <w:semiHidden/>
    <w:unhideWhenUsed/>
    <w:rsid w:val="00F32CE2"/>
    <w:rPr>
      <w:sz w:val="20"/>
      <w:szCs w:val="20"/>
    </w:rPr>
  </w:style>
  <w:style w:type="character" w:customStyle="1" w:styleId="FootnoteTextChar">
    <w:name w:val="Footnote Text Char"/>
    <w:basedOn w:val="DefaultParagraphFont"/>
    <w:link w:val="FootnoteText"/>
    <w:uiPriority w:val="99"/>
    <w:semiHidden/>
    <w:rsid w:val="00F32CE2"/>
    <w:rPr>
      <w:lang w:eastAsia="en-US"/>
    </w:rPr>
  </w:style>
  <w:style w:type="character" w:styleId="FootnoteReference">
    <w:name w:val="footnote reference"/>
    <w:basedOn w:val="DefaultParagraphFont"/>
    <w:uiPriority w:val="99"/>
    <w:semiHidden/>
    <w:unhideWhenUsed/>
    <w:rsid w:val="00F32CE2"/>
    <w:rPr>
      <w:vertAlign w:val="superscript"/>
    </w:rPr>
  </w:style>
  <w:style w:type="character" w:styleId="CommentReference">
    <w:name w:val="annotation reference"/>
    <w:basedOn w:val="DefaultParagraphFont"/>
    <w:uiPriority w:val="99"/>
    <w:semiHidden/>
    <w:unhideWhenUsed/>
    <w:rsid w:val="001C245F"/>
    <w:rPr>
      <w:sz w:val="16"/>
      <w:szCs w:val="16"/>
    </w:rPr>
  </w:style>
  <w:style w:type="paragraph" w:styleId="CommentText">
    <w:name w:val="annotation text"/>
    <w:basedOn w:val="Normal"/>
    <w:link w:val="CommentTextChar"/>
    <w:uiPriority w:val="99"/>
    <w:semiHidden/>
    <w:unhideWhenUsed/>
    <w:rsid w:val="001C245F"/>
    <w:rPr>
      <w:sz w:val="20"/>
      <w:szCs w:val="20"/>
    </w:rPr>
  </w:style>
  <w:style w:type="character" w:customStyle="1" w:styleId="CommentTextChar">
    <w:name w:val="Comment Text Char"/>
    <w:basedOn w:val="DefaultParagraphFont"/>
    <w:link w:val="CommentText"/>
    <w:uiPriority w:val="99"/>
    <w:semiHidden/>
    <w:rsid w:val="001C245F"/>
    <w:rPr>
      <w:lang w:eastAsia="en-US"/>
    </w:rPr>
  </w:style>
  <w:style w:type="paragraph" w:styleId="CommentSubject">
    <w:name w:val="annotation subject"/>
    <w:basedOn w:val="CommentText"/>
    <w:next w:val="CommentText"/>
    <w:link w:val="CommentSubjectChar"/>
    <w:uiPriority w:val="99"/>
    <w:semiHidden/>
    <w:unhideWhenUsed/>
    <w:rsid w:val="001C245F"/>
    <w:rPr>
      <w:b/>
      <w:bCs/>
    </w:rPr>
  </w:style>
  <w:style w:type="character" w:customStyle="1" w:styleId="CommentSubjectChar">
    <w:name w:val="Comment Subject Char"/>
    <w:basedOn w:val="CommentTextChar"/>
    <w:link w:val="CommentSubject"/>
    <w:uiPriority w:val="99"/>
    <w:semiHidden/>
    <w:rsid w:val="001C245F"/>
    <w:rPr>
      <w:b/>
      <w:bCs/>
      <w:lang w:eastAsia="en-US"/>
    </w:rPr>
  </w:style>
  <w:style w:type="paragraph" w:styleId="Header">
    <w:name w:val="header"/>
    <w:basedOn w:val="Normal"/>
    <w:link w:val="HeaderChar"/>
    <w:uiPriority w:val="99"/>
    <w:unhideWhenUsed/>
    <w:rsid w:val="009A1D8B"/>
    <w:pPr>
      <w:tabs>
        <w:tab w:val="center" w:pos="4513"/>
        <w:tab w:val="right" w:pos="9026"/>
      </w:tabs>
    </w:pPr>
  </w:style>
  <w:style w:type="character" w:customStyle="1" w:styleId="HeaderChar">
    <w:name w:val="Header Char"/>
    <w:basedOn w:val="DefaultParagraphFont"/>
    <w:link w:val="Header"/>
    <w:uiPriority w:val="99"/>
    <w:rsid w:val="009A1D8B"/>
    <w:rPr>
      <w:sz w:val="22"/>
      <w:szCs w:val="22"/>
      <w:lang w:eastAsia="en-US"/>
    </w:rPr>
  </w:style>
  <w:style w:type="paragraph" w:styleId="Footer">
    <w:name w:val="footer"/>
    <w:basedOn w:val="Normal"/>
    <w:link w:val="FooterChar"/>
    <w:uiPriority w:val="99"/>
    <w:unhideWhenUsed/>
    <w:rsid w:val="009A1D8B"/>
    <w:pPr>
      <w:tabs>
        <w:tab w:val="center" w:pos="4513"/>
        <w:tab w:val="right" w:pos="9026"/>
      </w:tabs>
    </w:pPr>
  </w:style>
  <w:style w:type="character" w:customStyle="1" w:styleId="FooterChar">
    <w:name w:val="Footer Char"/>
    <w:basedOn w:val="DefaultParagraphFont"/>
    <w:link w:val="Footer"/>
    <w:uiPriority w:val="99"/>
    <w:rsid w:val="009A1D8B"/>
    <w:rPr>
      <w:sz w:val="22"/>
      <w:szCs w:val="22"/>
      <w:lang w:eastAsia="en-US"/>
    </w:rPr>
  </w:style>
  <w:style w:type="paragraph" w:customStyle="1" w:styleId="Default">
    <w:name w:val="Default"/>
    <w:rsid w:val="004C19AE"/>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71BEC"/>
    <w:rPr>
      <w:color w:val="0000FF"/>
      <w:u w:val="single"/>
    </w:rPr>
  </w:style>
  <w:style w:type="character" w:styleId="FollowedHyperlink">
    <w:name w:val="FollowedHyperlink"/>
    <w:basedOn w:val="DefaultParagraphFont"/>
    <w:uiPriority w:val="99"/>
    <w:semiHidden/>
    <w:unhideWhenUsed/>
    <w:rsid w:val="008514E5"/>
    <w:rPr>
      <w:color w:val="800080"/>
      <w:u w:val="single"/>
    </w:rPr>
  </w:style>
  <w:style w:type="paragraph" w:styleId="NoSpacing">
    <w:name w:val="No Spacing"/>
    <w:uiPriority w:val="1"/>
    <w:qFormat/>
    <w:rsid w:val="00B1327C"/>
    <w:rPr>
      <w:sz w:val="22"/>
      <w:szCs w:val="22"/>
      <w:lang w:eastAsia="en-US"/>
    </w:rPr>
  </w:style>
  <w:style w:type="table" w:styleId="TableGrid">
    <w:name w:val="Table Grid"/>
    <w:basedOn w:val="TableNormal"/>
    <w:uiPriority w:val="59"/>
    <w:rsid w:val="007F64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6F7"/>
    <w:pPr>
      <w:spacing w:after="0" w:line="240" w:lineRule="auto"/>
      <w:ind w:left="720"/>
    </w:pPr>
    <w:rPr>
      <w:rFonts w:eastAsia="Times New Roman"/>
    </w:rPr>
  </w:style>
  <w:style w:type="table" w:customStyle="1" w:styleId="LightList-Accent11">
    <w:name w:val="Light List - Accent 11"/>
    <w:basedOn w:val="TableNormal"/>
    <w:uiPriority w:val="61"/>
    <w:rsid w:val="00A2268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TableNormal"/>
    <w:uiPriority w:val="61"/>
    <w:rsid w:val="001B0575"/>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NormalWeb">
    <w:name w:val="Normal (Web)"/>
    <w:basedOn w:val="Normal"/>
    <w:uiPriority w:val="99"/>
    <w:unhideWhenUsed/>
    <w:rsid w:val="00EC55E2"/>
    <w:pPr>
      <w:spacing w:after="0"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2475">
      <w:bodyDiv w:val="1"/>
      <w:marLeft w:val="0"/>
      <w:marRight w:val="0"/>
      <w:marTop w:val="0"/>
      <w:marBottom w:val="0"/>
      <w:divBdr>
        <w:top w:val="none" w:sz="0" w:space="0" w:color="auto"/>
        <w:left w:val="none" w:sz="0" w:space="0" w:color="auto"/>
        <w:bottom w:val="none" w:sz="0" w:space="0" w:color="auto"/>
        <w:right w:val="none" w:sz="0" w:space="0" w:color="auto"/>
      </w:divBdr>
    </w:div>
    <w:div w:id="9991131">
      <w:bodyDiv w:val="1"/>
      <w:marLeft w:val="0"/>
      <w:marRight w:val="0"/>
      <w:marTop w:val="0"/>
      <w:marBottom w:val="0"/>
      <w:divBdr>
        <w:top w:val="none" w:sz="0" w:space="0" w:color="auto"/>
        <w:left w:val="none" w:sz="0" w:space="0" w:color="auto"/>
        <w:bottom w:val="none" w:sz="0" w:space="0" w:color="auto"/>
        <w:right w:val="none" w:sz="0" w:space="0" w:color="auto"/>
      </w:divBdr>
    </w:div>
    <w:div w:id="16741926">
      <w:bodyDiv w:val="1"/>
      <w:marLeft w:val="0"/>
      <w:marRight w:val="0"/>
      <w:marTop w:val="0"/>
      <w:marBottom w:val="0"/>
      <w:divBdr>
        <w:top w:val="none" w:sz="0" w:space="0" w:color="auto"/>
        <w:left w:val="none" w:sz="0" w:space="0" w:color="auto"/>
        <w:bottom w:val="none" w:sz="0" w:space="0" w:color="auto"/>
        <w:right w:val="none" w:sz="0" w:space="0" w:color="auto"/>
      </w:divBdr>
    </w:div>
    <w:div w:id="53704592">
      <w:bodyDiv w:val="1"/>
      <w:marLeft w:val="0"/>
      <w:marRight w:val="0"/>
      <w:marTop w:val="0"/>
      <w:marBottom w:val="0"/>
      <w:divBdr>
        <w:top w:val="none" w:sz="0" w:space="0" w:color="auto"/>
        <w:left w:val="none" w:sz="0" w:space="0" w:color="auto"/>
        <w:bottom w:val="none" w:sz="0" w:space="0" w:color="auto"/>
        <w:right w:val="none" w:sz="0" w:space="0" w:color="auto"/>
      </w:divBdr>
    </w:div>
    <w:div w:id="67386488">
      <w:bodyDiv w:val="1"/>
      <w:marLeft w:val="0"/>
      <w:marRight w:val="0"/>
      <w:marTop w:val="0"/>
      <w:marBottom w:val="0"/>
      <w:divBdr>
        <w:top w:val="none" w:sz="0" w:space="0" w:color="auto"/>
        <w:left w:val="none" w:sz="0" w:space="0" w:color="auto"/>
        <w:bottom w:val="none" w:sz="0" w:space="0" w:color="auto"/>
        <w:right w:val="none" w:sz="0" w:space="0" w:color="auto"/>
      </w:divBdr>
    </w:div>
    <w:div w:id="77022058">
      <w:bodyDiv w:val="1"/>
      <w:marLeft w:val="0"/>
      <w:marRight w:val="0"/>
      <w:marTop w:val="0"/>
      <w:marBottom w:val="0"/>
      <w:divBdr>
        <w:top w:val="none" w:sz="0" w:space="0" w:color="auto"/>
        <w:left w:val="none" w:sz="0" w:space="0" w:color="auto"/>
        <w:bottom w:val="none" w:sz="0" w:space="0" w:color="auto"/>
        <w:right w:val="none" w:sz="0" w:space="0" w:color="auto"/>
      </w:divBdr>
    </w:div>
    <w:div w:id="78984388">
      <w:bodyDiv w:val="1"/>
      <w:marLeft w:val="0"/>
      <w:marRight w:val="0"/>
      <w:marTop w:val="0"/>
      <w:marBottom w:val="0"/>
      <w:divBdr>
        <w:top w:val="none" w:sz="0" w:space="0" w:color="auto"/>
        <w:left w:val="none" w:sz="0" w:space="0" w:color="auto"/>
        <w:bottom w:val="none" w:sz="0" w:space="0" w:color="auto"/>
        <w:right w:val="none" w:sz="0" w:space="0" w:color="auto"/>
      </w:divBdr>
    </w:div>
    <w:div w:id="88163503">
      <w:bodyDiv w:val="1"/>
      <w:marLeft w:val="0"/>
      <w:marRight w:val="0"/>
      <w:marTop w:val="0"/>
      <w:marBottom w:val="0"/>
      <w:divBdr>
        <w:top w:val="none" w:sz="0" w:space="0" w:color="auto"/>
        <w:left w:val="none" w:sz="0" w:space="0" w:color="auto"/>
        <w:bottom w:val="none" w:sz="0" w:space="0" w:color="auto"/>
        <w:right w:val="none" w:sz="0" w:space="0" w:color="auto"/>
      </w:divBdr>
    </w:div>
    <w:div w:id="88501972">
      <w:bodyDiv w:val="1"/>
      <w:marLeft w:val="0"/>
      <w:marRight w:val="0"/>
      <w:marTop w:val="0"/>
      <w:marBottom w:val="0"/>
      <w:divBdr>
        <w:top w:val="none" w:sz="0" w:space="0" w:color="auto"/>
        <w:left w:val="none" w:sz="0" w:space="0" w:color="auto"/>
        <w:bottom w:val="none" w:sz="0" w:space="0" w:color="auto"/>
        <w:right w:val="none" w:sz="0" w:space="0" w:color="auto"/>
      </w:divBdr>
    </w:div>
    <w:div w:id="102963443">
      <w:bodyDiv w:val="1"/>
      <w:marLeft w:val="0"/>
      <w:marRight w:val="0"/>
      <w:marTop w:val="0"/>
      <w:marBottom w:val="0"/>
      <w:divBdr>
        <w:top w:val="none" w:sz="0" w:space="0" w:color="auto"/>
        <w:left w:val="none" w:sz="0" w:space="0" w:color="auto"/>
        <w:bottom w:val="none" w:sz="0" w:space="0" w:color="auto"/>
        <w:right w:val="none" w:sz="0" w:space="0" w:color="auto"/>
      </w:divBdr>
    </w:div>
    <w:div w:id="107045067">
      <w:bodyDiv w:val="1"/>
      <w:marLeft w:val="0"/>
      <w:marRight w:val="0"/>
      <w:marTop w:val="0"/>
      <w:marBottom w:val="0"/>
      <w:divBdr>
        <w:top w:val="none" w:sz="0" w:space="0" w:color="auto"/>
        <w:left w:val="none" w:sz="0" w:space="0" w:color="auto"/>
        <w:bottom w:val="none" w:sz="0" w:space="0" w:color="auto"/>
        <w:right w:val="none" w:sz="0" w:space="0" w:color="auto"/>
      </w:divBdr>
    </w:div>
    <w:div w:id="114491701">
      <w:bodyDiv w:val="1"/>
      <w:marLeft w:val="0"/>
      <w:marRight w:val="0"/>
      <w:marTop w:val="0"/>
      <w:marBottom w:val="0"/>
      <w:divBdr>
        <w:top w:val="none" w:sz="0" w:space="0" w:color="auto"/>
        <w:left w:val="none" w:sz="0" w:space="0" w:color="auto"/>
        <w:bottom w:val="none" w:sz="0" w:space="0" w:color="auto"/>
        <w:right w:val="none" w:sz="0" w:space="0" w:color="auto"/>
      </w:divBdr>
    </w:div>
    <w:div w:id="149297180">
      <w:bodyDiv w:val="1"/>
      <w:marLeft w:val="0"/>
      <w:marRight w:val="0"/>
      <w:marTop w:val="0"/>
      <w:marBottom w:val="0"/>
      <w:divBdr>
        <w:top w:val="none" w:sz="0" w:space="0" w:color="auto"/>
        <w:left w:val="none" w:sz="0" w:space="0" w:color="auto"/>
        <w:bottom w:val="none" w:sz="0" w:space="0" w:color="auto"/>
        <w:right w:val="none" w:sz="0" w:space="0" w:color="auto"/>
      </w:divBdr>
    </w:div>
    <w:div w:id="150341857">
      <w:bodyDiv w:val="1"/>
      <w:marLeft w:val="0"/>
      <w:marRight w:val="0"/>
      <w:marTop w:val="0"/>
      <w:marBottom w:val="0"/>
      <w:divBdr>
        <w:top w:val="none" w:sz="0" w:space="0" w:color="auto"/>
        <w:left w:val="none" w:sz="0" w:space="0" w:color="auto"/>
        <w:bottom w:val="none" w:sz="0" w:space="0" w:color="auto"/>
        <w:right w:val="none" w:sz="0" w:space="0" w:color="auto"/>
      </w:divBdr>
    </w:div>
    <w:div w:id="153688580">
      <w:bodyDiv w:val="1"/>
      <w:marLeft w:val="0"/>
      <w:marRight w:val="0"/>
      <w:marTop w:val="0"/>
      <w:marBottom w:val="0"/>
      <w:divBdr>
        <w:top w:val="none" w:sz="0" w:space="0" w:color="auto"/>
        <w:left w:val="none" w:sz="0" w:space="0" w:color="auto"/>
        <w:bottom w:val="none" w:sz="0" w:space="0" w:color="auto"/>
        <w:right w:val="none" w:sz="0" w:space="0" w:color="auto"/>
      </w:divBdr>
    </w:div>
    <w:div w:id="158621133">
      <w:bodyDiv w:val="1"/>
      <w:marLeft w:val="0"/>
      <w:marRight w:val="0"/>
      <w:marTop w:val="0"/>
      <w:marBottom w:val="0"/>
      <w:divBdr>
        <w:top w:val="none" w:sz="0" w:space="0" w:color="auto"/>
        <w:left w:val="none" w:sz="0" w:space="0" w:color="auto"/>
        <w:bottom w:val="none" w:sz="0" w:space="0" w:color="auto"/>
        <w:right w:val="none" w:sz="0" w:space="0" w:color="auto"/>
      </w:divBdr>
    </w:div>
    <w:div w:id="159082357">
      <w:bodyDiv w:val="1"/>
      <w:marLeft w:val="0"/>
      <w:marRight w:val="0"/>
      <w:marTop w:val="0"/>
      <w:marBottom w:val="0"/>
      <w:divBdr>
        <w:top w:val="none" w:sz="0" w:space="0" w:color="auto"/>
        <w:left w:val="none" w:sz="0" w:space="0" w:color="auto"/>
        <w:bottom w:val="none" w:sz="0" w:space="0" w:color="auto"/>
        <w:right w:val="none" w:sz="0" w:space="0" w:color="auto"/>
      </w:divBdr>
    </w:div>
    <w:div w:id="183330379">
      <w:bodyDiv w:val="1"/>
      <w:marLeft w:val="0"/>
      <w:marRight w:val="0"/>
      <w:marTop w:val="0"/>
      <w:marBottom w:val="0"/>
      <w:divBdr>
        <w:top w:val="none" w:sz="0" w:space="0" w:color="auto"/>
        <w:left w:val="none" w:sz="0" w:space="0" w:color="auto"/>
        <w:bottom w:val="none" w:sz="0" w:space="0" w:color="auto"/>
        <w:right w:val="none" w:sz="0" w:space="0" w:color="auto"/>
      </w:divBdr>
    </w:div>
    <w:div w:id="184102260">
      <w:bodyDiv w:val="1"/>
      <w:marLeft w:val="0"/>
      <w:marRight w:val="0"/>
      <w:marTop w:val="0"/>
      <w:marBottom w:val="0"/>
      <w:divBdr>
        <w:top w:val="none" w:sz="0" w:space="0" w:color="auto"/>
        <w:left w:val="none" w:sz="0" w:space="0" w:color="auto"/>
        <w:bottom w:val="none" w:sz="0" w:space="0" w:color="auto"/>
        <w:right w:val="none" w:sz="0" w:space="0" w:color="auto"/>
      </w:divBdr>
    </w:div>
    <w:div w:id="189150781">
      <w:bodyDiv w:val="1"/>
      <w:marLeft w:val="0"/>
      <w:marRight w:val="0"/>
      <w:marTop w:val="0"/>
      <w:marBottom w:val="0"/>
      <w:divBdr>
        <w:top w:val="none" w:sz="0" w:space="0" w:color="auto"/>
        <w:left w:val="none" w:sz="0" w:space="0" w:color="auto"/>
        <w:bottom w:val="none" w:sz="0" w:space="0" w:color="auto"/>
        <w:right w:val="none" w:sz="0" w:space="0" w:color="auto"/>
      </w:divBdr>
    </w:div>
    <w:div w:id="189878024">
      <w:bodyDiv w:val="1"/>
      <w:marLeft w:val="0"/>
      <w:marRight w:val="0"/>
      <w:marTop w:val="0"/>
      <w:marBottom w:val="0"/>
      <w:divBdr>
        <w:top w:val="none" w:sz="0" w:space="0" w:color="auto"/>
        <w:left w:val="none" w:sz="0" w:space="0" w:color="auto"/>
        <w:bottom w:val="none" w:sz="0" w:space="0" w:color="auto"/>
        <w:right w:val="none" w:sz="0" w:space="0" w:color="auto"/>
      </w:divBdr>
    </w:div>
    <w:div w:id="192891184">
      <w:bodyDiv w:val="1"/>
      <w:marLeft w:val="0"/>
      <w:marRight w:val="0"/>
      <w:marTop w:val="0"/>
      <w:marBottom w:val="0"/>
      <w:divBdr>
        <w:top w:val="none" w:sz="0" w:space="0" w:color="auto"/>
        <w:left w:val="none" w:sz="0" w:space="0" w:color="auto"/>
        <w:bottom w:val="none" w:sz="0" w:space="0" w:color="auto"/>
        <w:right w:val="none" w:sz="0" w:space="0" w:color="auto"/>
      </w:divBdr>
    </w:div>
    <w:div w:id="198207662">
      <w:bodyDiv w:val="1"/>
      <w:marLeft w:val="0"/>
      <w:marRight w:val="0"/>
      <w:marTop w:val="0"/>
      <w:marBottom w:val="0"/>
      <w:divBdr>
        <w:top w:val="none" w:sz="0" w:space="0" w:color="auto"/>
        <w:left w:val="none" w:sz="0" w:space="0" w:color="auto"/>
        <w:bottom w:val="none" w:sz="0" w:space="0" w:color="auto"/>
        <w:right w:val="none" w:sz="0" w:space="0" w:color="auto"/>
      </w:divBdr>
    </w:div>
    <w:div w:id="201023479">
      <w:bodyDiv w:val="1"/>
      <w:marLeft w:val="0"/>
      <w:marRight w:val="0"/>
      <w:marTop w:val="0"/>
      <w:marBottom w:val="0"/>
      <w:divBdr>
        <w:top w:val="none" w:sz="0" w:space="0" w:color="auto"/>
        <w:left w:val="none" w:sz="0" w:space="0" w:color="auto"/>
        <w:bottom w:val="none" w:sz="0" w:space="0" w:color="auto"/>
        <w:right w:val="none" w:sz="0" w:space="0" w:color="auto"/>
      </w:divBdr>
    </w:div>
    <w:div w:id="202711381">
      <w:bodyDiv w:val="1"/>
      <w:marLeft w:val="0"/>
      <w:marRight w:val="0"/>
      <w:marTop w:val="0"/>
      <w:marBottom w:val="0"/>
      <w:divBdr>
        <w:top w:val="none" w:sz="0" w:space="0" w:color="auto"/>
        <w:left w:val="none" w:sz="0" w:space="0" w:color="auto"/>
        <w:bottom w:val="none" w:sz="0" w:space="0" w:color="auto"/>
        <w:right w:val="none" w:sz="0" w:space="0" w:color="auto"/>
      </w:divBdr>
    </w:div>
    <w:div w:id="209147400">
      <w:bodyDiv w:val="1"/>
      <w:marLeft w:val="0"/>
      <w:marRight w:val="0"/>
      <w:marTop w:val="0"/>
      <w:marBottom w:val="0"/>
      <w:divBdr>
        <w:top w:val="none" w:sz="0" w:space="0" w:color="auto"/>
        <w:left w:val="none" w:sz="0" w:space="0" w:color="auto"/>
        <w:bottom w:val="none" w:sz="0" w:space="0" w:color="auto"/>
        <w:right w:val="none" w:sz="0" w:space="0" w:color="auto"/>
      </w:divBdr>
    </w:div>
    <w:div w:id="233899502">
      <w:bodyDiv w:val="1"/>
      <w:marLeft w:val="0"/>
      <w:marRight w:val="0"/>
      <w:marTop w:val="0"/>
      <w:marBottom w:val="0"/>
      <w:divBdr>
        <w:top w:val="none" w:sz="0" w:space="0" w:color="auto"/>
        <w:left w:val="none" w:sz="0" w:space="0" w:color="auto"/>
        <w:bottom w:val="none" w:sz="0" w:space="0" w:color="auto"/>
        <w:right w:val="none" w:sz="0" w:space="0" w:color="auto"/>
      </w:divBdr>
    </w:div>
    <w:div w:id="236331431">
      <w:bodyDiv w:val="1"/>
      <w:marLeft w:val="0"/>
      <w:marRight w:val="0"/>
      <w:marTop w:val="0"/>
      <w:marBottom w:val="0"/>
      <w:divBdr>
        <w:top w:val="none" w:sz="0" w:space="0" w:color="auto"/>
        <w:left w:val="none" w:sz="0" w:space="0" w:color="auto"/>
        <w:bottom w:val="none" w:sz="0" w:space="0" w:color="auto"/>
        <w:right w:val="none" w:sz="0" w:space="0" w:color="auto"/>
      </w:divBdr>
    </w:div>
    <w:div w:id="248774989">
      <w:bodyDiv w:val="1"/>
      <w:marLeft w:val="0"/>
      <w:marRight w:val="0"/>
      <w:marTop w:val="0"/>
      <w:marBottom w:val="0"/>
      <w:divBdr>
        <w:top w:val="none" w:sz="0" w:space="0" w:color="auto"/>
        <w:left w:val="none" w:sz="0" w:space="0" w:color="auto"/>
        <w:bottom w:val="none" w:sz="0" w:space="0" w:color="auto"/>
        <w:right w:val="none" w:sz="0" w:space="0" w:color="auto"/>
      </w:divBdr>
    </w:div>
    <w:div w:id="264726038">
      <w:bodyDiv w:val="1"/>
      <w:marLeft w:val="0"/>
      <w:marRight w:val="0"/>
      <w:marTop w:val="0"/>
      <w:marBottom w:val="0"/>
      <w:divBdr>
        <w:top w:val="none" w:sz="0" w:space="0" w:color="auto"/>
        <w:left w:val="none" w:sz="0" w:space="0" w:color="auto"/>
        <w:bottom w:val="none" w:sz="0" w:space="0" w:color="auto"/>
        <w:right w:val="none" w:sz="0" w:space="0" w:color="auto"/>
      </w:divBdr>
    </w:div>
    <w:div w:id="268047556">
      <w:bodyDiv w:val="1"/>
      <w:marLeft w:val="0"/>
      <w:marRight w:val="0"/>
      <w:marTop w:val="0"/>
      <w:marBottom w:val="0"/>
      <w:divBdr>
        <w:top w:val="none" w:sz="0" w:space="0" w:color="auto"/>
        <w:left w:val="none" w:sz="0" w:space="0" w:color="auto"/>
        <w:bottom w:val="none" w:sz="0" w:space="0" w:color="auto"/>
        <w:right w:val="none" w:sz="0" w:space="0" w:color="auto"/>
      </w:divBdr>
    </w:div>
    <w:div w:id="289436323">
      <w:bodyDiv w:val="1"/>
      <w:marLeft w:val="0"/>
      <w:marRight w:val="0"/>
      <w:marTop w:val="0"/>
      <w:marBottom w:val="0"/>
      <w:divBdr>
        <w:top w:val="none" w:sz="0" w:space="0" w:color="auto"/>
        <w:left w:val="none" w:sz="0" w:space="0" w:color="auto"/>
        <w:bottom w:val="none" w:sz="0" w:space="0" w:color="auto"/>
        <w:right w:val="none" w:sz="0" w:space="0" w:color="auto"/>
      </w:divBdr>
    </w:div>
    <w:div w:id="307906112">
      <w:bodyDiv w:val="1"/>
      <w:marLeft w:val="0"/>
      <w:marRight w:val="0"/>
      <w:marTop w:val="0"/>
      <w:marBottom w:val="0"/>
      <w:divBdr>
        <w:top w:val="none" w:sz="0" w:space="0" w:color="auto"/>
        <w:left w:val="none" w:sz="0" w:space="0" w:color="auto"/>
        <w:bottom w:val="none" w:sz="0" w:space="0" w:color="auto"/>
        <w:right w:val="none" w:sz="0" w:space="0" w:color="auto"/>
      </w:divBdr>
    </w:div>
    <w:div w:id="316424401">
      <w:bodyDiv w:val="1"/>
      <w:marLeft w:val="0"/>
      <w:marRight w:val="0"/>
      <w:marTop w:val="0"/>
      <w:marBottom w:val="0"/>
      <w:divBdr>
        <w:top w:val="none" w:sz="0" w:space="0" w:color="auto"/>
        <w:left w:val="none" w:sz="0" w:space="0" w:color="auto"/>
        <w:bottom w:val="none" w:sz="0" w:space="0" w:color="auto"/>
        <w:right w:val="none" w:sz="0" w:space="0" w:color="auto"/>
      </w:divBdr>
    </w:div>
    <w:div w:id="319845301">
      <w:bodyDiv w:val="1"/>
      <w:marLeft w:val="0"/>
      <w:marRight w:val="0"/>
      <w:marTop w:val="0"/>
      <w:marBottom w:val="0"/>
      <w:divBdr>
        <w:top w:val="none" w:sz="0" w:space="0" w:color="auto"/>
        <w:left w:val="none" w:sz="0" w:space="0" w:color="auto"/>
        <w:bottom w:val="none" w:sz="0" w:space="0" w:color="auto"/>
        <w:right w:val="none" w:sz="0" w:space="0" w:color="auto"/>
      </w:divBdr>
    </w:div>
    <w:div w:id="327489142">
      <w:bodyDiv w:val="1"/>
      <w:marLeft w:val="0"/>
      <w:marRight w:val="0"/>
      <w:marTop w:val="0"/>
      <w:marBottom w:val="0"/>
      <w:divBdr>
        <w:top w:val="none" w:sz="0" w:space="0" w:color="auto"/>
        <w:left w:val="none" w:sz="0" w:space="0" w:color="auto"/>
        <w:bottom w:val="none" w:sz="0" w:space="0" w:color="auto"/>
        <w:right w:val="none" w:sz="0" w:space="0" w:color="auto"/>
      </w:divBdr>
    </w:div>
    <w:div w:id="339771064">
      <w:bodyDiv w:val="1"/>
      <w:marLeft w:val="0"/>
      <w:marRight w:val="0"/>
      <w:marTop w:val="0"/>
      <w:marBottom w:val="0"/>
      <w:divBdr>
        <w:top w:val="none" w:sz="0" w:space="0" w:color="auto"/>
        <w:left w:val="none" w:sz="0" w:space="0" w:color="auto"/>
        <w:bottom w:val="none" w:sz="0" w:space="0" w:color="auto"/>
        <w:right w:val="none" w:sz="0" w:space="0" w:color="auto"/>
      </w:divBdr>
    </w:div>
    <w:div w:id="342324091">
      <w:bodyDiv w:val="1"/>
      <w:marLeft w:val="0"/>
      <w:marRight w:val="0"/>
      <w:marTop w:val="0"/>
      <w:marBottom w:val="0"/>
      <w:divBdr>
        <w:top w:val="none" w:sz="0" w:space="0" w:color="auto"/>
        <w:left w:val="none" w:sz="0" w:space="0" w:color="auto"/>
        <w:bottom w:val="none" w:sz="0" w:space="0" w:color="auto"/>
        <w:right w:val="none" w:sz="0" w:space="0" w:color="auto"/>
      </w:divBdr>
    </w:div>
    <w:div w:id="350763195">
      <w:bodyDiv w:val="1"/>
      <w:marLeft w:val="0"/>
      <w:marRight w:val="0"/>
      <w:marTop w:val="0"/>
      <w:marBottom w:val="0"/>
      <w:divBdr>
        <w:top w:val="none" w:sz="0" w:space="0" w:color="auto"/>
        <w:left w:val="none" w:sz="0" w:space="0" w:color="auto"/>
        <w:bottom w:val="none" w:sz="0" w:space="0" w:color="auto"/>
        <w:right w:val="none" w:sz="0" w:space="0" w:color="auto"/>
      </w:divBdr>
    </w:div>
    <w:div w:id="351494613">
      <w:bodyDiv w:val="1"/>
      <w:marLeft w:val="0"/>
      <w:marRight w:val="0"/>
      <w:marTop w:val="0"/>
      <w:marBottom w:val="0"/>
      <w:divBdr>
        <w:top w:val="none" w:sz="0" w:space="0" w:color="auto"/>
        <w:left w:val="none" w:sz="0" w:space="0" w:color="auto"/>
        <w:bottom w:val="none" w:sz="0" w:space="0" w:color="auto"/>
        <w:right w:val="none" w:sz="0" w:space="0" w:color="auto"/>
      </w:divBdr>
    </w:div>
    <w:div w:id="352922945">
      <w:bodyDiv w:val="1"/>
      <w:marLeft w:val="0"/>
      <w:marRight w:val="0"/>
      <w:marTop w:val="0"/>
      <w:marBottom w:val="0"/>
      <w:divBdr>
        <w:top w:val="none" w:sz="0" w:space="0" w:color="auto"/>
        <w:left w:val="none" w:sz="0" w:space="0" w:color="auto"/>
        <w:bottom w:val="none" w:sz="0" w:space="0" w:color="auto"/>
        <w:right w:val="none" w:sz="0" w:space="0" w:color="auto"/>
      </w:divBdr>
    </w:div>
    <w:div w:id="360015678">
      <w:bodyDiv w:val="1"/>
      <w:marLeft w:val="0"/>
      <w:marRight w:val="0"/>
      <w:marTop w:val="0"/>
      <w:marBottom w:val="0"/>
      <w:divBdr>
        <w:top w:val="none" w:sz="0" w:space="0" w:color="auto"/>
        <w:left w:val="none" w:sz="0" w:space="0" w:color="auto"/>
        <w:bottom w:val="none" w:sz="0" w:space="0" w:color="auto"/>
        <w:right w:val="none" w:sz="0" w:space="0" w:color="auto"/>
      </w:divBdr>
    </w:div>
    <w:div w:id="361832264">
      <w:bodyDiv w:val="1"/>
      <w:marLeft w:val="0"/>
      <w:marRight w:val="0"/>
      <w:marTop w:val="0"/>
      <w:marBottom w:val="0"/>
      <w:divBdr>
        <w:top w:val="none" w:sz="0" w:space="0" w:color="auto"/>
        <w:left w:val="none" w:sz="0" w:space="0" w:color="auto"/>
        <w:bottom w:val="none" w:sz="0" w:space="0" w:color="auto"/>
        <w:right w:val="none" w:sz="0" w:space="0" w:color="auto"/>
      </w:divBdr>
    </w:div>
    <w:div w:id="363137228">
      <w:bodyDiv w:val="1"/>
      <w:marLeft w:val="0"/>
      <w:marRight w:val="0"/>
      <w:marTop w:val="0"/>
      <w:marBottom w:val="0"/>
      <w:divBdr>
        <w:top w:val="none" w:sz="0" w:space="0" w:color="auto"/>
        <w:left w:val="none" w:sz="0" w:space="0" w:color="auto"/>
        <w:bottom w:val="none" w:sz="0" w:space="0" w:color="auto"/>
        <w:right w:val="none" w:sz="0" w:space="0" w:color="auto"/>
      </w:divBdr>
    </w:div>
    <w:div w:id="367414101">
      <w:bodyDiv w:val="1"/>
      <w:marLeft w:val="0"/>
      <w:marRight w:val="0"/>
      <w:marTop w:val="0"/>
      <w:marBottom w:val="0"/>
      <w:divBdr>
        <w:top w:val="none" w:sz="0" w:space="0" w:color="auto"/>
        <w:left w:val="none" w:sz="0" w:space="0" w:color="auto"/>
        <w:bottom w:val="none" w:sz="0" w:space="0" w:color="auto"/>
        <w:right w:val="none" w:sz="0" w:space="0" w:color="auto"/>
      </w:divBdr>
    </w:div>
    <w:div w:id="371267947">
      <w:bodyDiv w:val="1"/>
      <w:marLeft w:val="0"/>
      <w:marRight w:val="0"/>
      <w:marTop w:val="0"/>
      <w:marBottom w:val="0"/>
      <w:divBdr>
        <w:top w:val="none" w:sz="0" w:space="0" w:color="auto"/>
        <w:left w:val="none" w:sz="0" w:space="0" w:color="auto"/>
        <w:bottom w:val="none" w:sz="0" w:space="0" w:color="auto"/>
        <w:right w:val="none" w:sz="0" w:space="0" w:color="auto"/>
      </w:divBdr>
    </w:div>
    <w:div w:id="414861965">
      <w:bodyDiv w:val="1"/>
      <w:marLeft w:val="0"/>
      <w:marRight w:val="0"/>
      <w:marTop w:val="0"/>
      <w:marBottom w:val="0"/>
      <w:divBdr>
        <w:top w:val="none" w:sz="0" w:space="0" w:color="auto"/>
        <w:left w:val="none" w:sz="0" w:space="0" w:color="auto"/>
        <w:bottom w:val="none" w:sz="0" w:space="0" w:color="auto"/>
        <w:right w:val="none" w:sz="0" w:space="0" w:color="auto"/>
      </w:divBdr>
    </w:div>
    <w:div w:id="438259045">
      <w:bodyDiv w:val="1"/>
      <w:marLeft w:val="0"/>
      <w:marRight w:val="0"/>
      <w:marTop w:val="0"/>
      <w:marBottom w:val="0"/>
      <w:divBdr>
        <w:top w:val="none" w:sz="0" w:space="0" w:color="auto"/>
        <w:left w:val="none" w:sz="0" w:space="0" w:color="auto"/>
        <w:bottom w:val="none" w:sz="0" w:space="0" w:color="auto"/>
        <w:right w:val="none" w:sz="0" w:space="0" w:color="auto"/>
      </w:divBdr>
    </w:div>
    <w:div w:id="445271962">
      <w:bodyDiv w:val="1"/>
      <w:marLeft w:val="0"/>
      <w:marRight w:val="0"/>
      <w:marTop w:val="0"/>
      <w:marBottom w:val="0"/>
      <w:divBdr>
        <w:top w:val="none" w:sz="0" w:space="0" w:color="auto"/>
        <w:left w:val="none" w:sz="0" w:space="0" w:color="auto"/>
        <w:bottom w:val="none" w:sz="0" w:space="0" w:color="auto"/>
        <w:right w:val="none" w:sz="0" w:space="0" w:color="auto"/>
      </w:divBdr>
    </w:div>
    <w:div w:id="451478657">
      <w:bodyDiv w:val="1"/>
      <w:marLeft w:val="0"/>
      <w:marRight w:val="0"/>
      <w:marTop w:val="0"/>
      <w:marBottom w:val="0"/>
      <w:divBdr>
        <w:top w:val="none" w:sz="0" w:space="0" w:color="auto"/>
        <w:left w:val="none" w:sz="0" w:space="0" w:color="auto"/>
        <w:bottom w:val="none" w:sz="0" w:space="0" w:color="auto"/>
        <w:right w:val="none" w:sz="0" w:space="0" w:color="auto"/>
      </w:divBdr>
    </w:div>
    <w:div w:id="457067308">
      <w:bodyDiv w:val="1"/>
      <w:marLeft w:val="0"/>
      <w:marRight w:val="0"/>
      <w:marTop w:val="0"/>
      <w:marBottom w:val="0"/>
      <w:divBdr>
        <w:top w:val="none" w:sz="0" w:space="0" w:color="auto"/>
        <w:left w:val="none" w:sz="0" w:space="0" w:color="auto"/>
        <w:bottom w:val="none" w:sz="0" w:space="0" w:color="auto"/>
        <w:right w:val="none" w:sz="0" w:space="0" w:color="auto"/>
      </w:divBdr>
    </w:div>
    <w:div w:id="473378086">
      <w:bodyDiv w:val="1"/>
      <w:marLeft w:val="0"/>
      <w:marRight w:val="0"/>
      <w:marTop w:val="0"/>
      <w:marBottom w:val="0"/>
      <w:divBdr>
        <w:top w:val="none" w:sz="0" w:space="0" w:color="auto"/>
        <w:left w:val="none" w:sz="0" w:space="0" w:color="auto"/>
        <w:bottom w:val="none" w:sz="0" w:space="0" w:color="auto"/>
        <w:right w:val="none" w:sz="0" w:space="0" w:color="auto"/>
      </w:divBdr>
    </w:div>
    <w:div w:id="478307364">
      <w:bodyDiv w:val="1"/>
      <w:marLeft w:val="0"/>
      <w:marRight w:val="0"/>
      <w:marTop w:val="0"/>
      <w:marBottom w:val="0"/>
      <w:divBdr>
        <w:top w:val="none" w:sz="0" w:space="0" w:color="auto"/>
        <w:left w:val="none" w:sz="0" w:space="0" w:color="auto"/>
        <w:bottom w:val="none" w:sz="0" w:space="0" w:color="auto"/>
        <w:right w:val="none" w:sz="0" w:space="0" w:color="auto"/>
      </w:divBdr>
    </w:div>
    <w:div w:id="483131806">
      <w:bodyDiv w:val="1"/>
      <w:marLeft w:val="0"/>
      <w:marRight w:val="0"/>
      <w:marTop w:val="0"/>
      <w:marBottom w:val="0"/>
      <w:divBdr>
        <w:top w:val="none" w:sz="0" w:space="0" w:color="auto"/>
        <w:left w:val="none" w:sz="0" w:space="0" w:color="auto"/>
        <w:bottom w:val="none" w:sz="0" w:space="0" w:color="auto"/>
        <w:right w:val="none" w:sz="0" w:space="0" w:color="auto"/>
      </w:divBdr>
    </w:div>
    <w:div w:id="490760659">
      <w:bodyDiv w:val="1"/>
      <w:marLeft w:val="0"/>
      <w:marRight w:val="0"/>
      <w:marTop w:val="0"/>
      <w:marBottom w:val="0"/>
      <w:divBdr>
        <w:top w:val="none" w:sz="0" w:space="0" w:color="auto"/>
        <w:left w:val="none" w:sz="0" w:space="0" w:color="auto"/>
        <w:bottom w:val="none" w:sz="0" w:space="0" w:color="auto"/>
        <w:right w:val="none" w:sz="0" w:space="0" w:color="auto"/>
      </w:divBdr>
    </w:div>
    <w:div w:id="497039595">
      <w:bodyDiv w:val="1"/>
      <w:marLeft w:val="0"/>
      <w:marRight w:val="0"/>
      <w:marTop w:val="0"/>
      <w:marBottom w:val="0"/>
      <w:divBdr>
        <w:top w:val="none" w:sz="0" w:space="0" w:color="auto"/>
        <w:left w:val="none" w:sz="0" w:space="0" w:color="auto"/>
        <w:bottom w:val="none" w:sz="0" w:space="0" w:color="auto"/>
        <w:right w:val="none" w:sz="0" w:space="0" w:color="auto"/>
      </w:divBdr>
    </w:div>
    <w:div w:id="509105958">
      <w:bodyDiv w:val="1"/>
      <w:marLeft w:val="0"/>
      <w:marRight w:val="0"/>
      <w:marTop w:val="0"/>
      <w:marBottom w:val="0"/>
      <w:divBdr>
        <w:top w:val="none" w:sz="0" w:space="0" w:color="auto"/>
        <w:left w:val="none" w:sz="0" w:space="0" w:color="auto"/>
        <w:bottom w:val="none" w:sz="0" w:space="0" w:color="auto"/>
        <w:right w:val="none" w:sz="0" w:space="0" w:color="auto"/>
      </w:divBdr>
    </w:div>
    <w:div w:id="511727709">
      <w:bodyDiv w:val="1"/>
      <w:marLeft w:val="0"/>
      <w:marRight w:val="0"/>
      <w:marTop w:val="0"/>
      <w:marBottom w:val="0"/>
      <w:divBdr>
        <w:top w:val="none" w:sz="0" w:space="0" w:color="auto"/>
        <w:left w:val="none" w:sz="0" w:space="0" w:color="auto"/>
        <w:bottom w:val="none" w:sz="0" w:space="0" w:color="auto"/>
        <w:right w:val="none" w:sz="0" w:space="0" w:color="auto"/>
      </w:divBdr>
    </w:div>
    <w:div w:id="546340257">
      <w:bodyDiv w:val="1"/>
      <w:marLeft w:val="0"/>
      <w:marRight w:val="0"/>
      <w:marTop w:val="0"/>
      <w:marBottom w:val="0"/>
      <w:divBdr>
        <w:top w:val="none" w:sz="0" w:space="0" w:color="auto"/>
        <w:left w:val="none" w:sz="0" w:space="0" w:color="auto"/>
        <w:bottom w:val="none" w:sz="0" w:space="0" w:color="auto"/>
        <w:right w:val="none" w:sz="0" w:space="0" w:color="auto"/>
      </w:divBdr>
    </w:div>
    <w:div w:id="549264451">
      <w:bodyDiv w:val="1"/>
      <w:marLeft w:val="0"/>
      <w:marRight w:val="0"/>
      <w:marTop w:val="0"/>
      <w:marBottom w:val="0"/>
      <w:divBdr>
        <w:top w:val="none" w:sz="0" w:space="0" w:color="auto"/>
        <w:left w:val="none" w:sz="0" w:space="0" w:color="auto"/>
        <w:bottom w:val="none" w:sz="0" w:space="0" w:color="auto"/>
        <w:right w:val="none" w:sz="0" w:space="0" w:color="auto"/>
      </w:divBdr>
    </w:div>
    <w:div w:id="552810914">
      <w:bodyDiv w:val="1"/>
      <w:marLeft w:val="0"/>
      <w:marRight w:val="0"/>
      <w:marTop w:val="0"/>
      <w:marBottom w:val="0"/>
      <w:divBdr>
        <w:top w:val="none" w:sz="0" w:space="0" w:color="auto"/>
        <w:left w:val="none" w:sz="0" w:space="0" w:color="auto"/>
        <w:bottom w:val="none" w:sz="0" w:space="0" w:color="auto"/>
        <w:right w:val="none" w:sz="0" w:space="0" w:color="auto"/>
      </w:divBdr>
    </w:div>
    <w:div w:id="559295348">
      <w:bodyDiv w:val="1"/>
      <w:marLeft w:val="0"/>
      <w:marRight w:val="0"/>
      <w:marTop w:val="0"/>
      <w:marBottom w:val="0"/>
      <w:divBdr>
        <w:top w:val="none" w:sz="0" w:space="0" w:color="auto"/>
        <w:left w:val="none" w:sz="0" w:space="0" w:color="auto"/>
        <w:bottom w:val="none" w:sz="0" w:space="0" w:color="auto"/>
        <w:right w:val="none" w:sz="0" w:space="0" w:color="auto"/>
      </w:divBdr>
    </w:div>
    <w:div w:id="564531957">
      <w:bodyDiv w:val="1"/>
      <w:marLeft w:val="0"/>
      <w:marRight w:val="0"/>
      <w:marTop w:val="0"/>
      <w:marBottom w:val="0"/>
      <w:divBdr>
        <w:top w:val="none" w:sz="0" w:space="0" w:color="auto"/>
        <w:left w:val="none" w:sz="0" w:space="0" w:color="auto"/>
        <w:bottom w:val="none" w:sz="0" w:space="0" w:color="auto"/>
        <w:right w:val="none" w:sz="0" w:space="0" w:color="auto"/>
      </w:divBdr>
    </w:div>
    <w:div w:id="574897407">
      <w:bodyDiv w:val="1"/>
      <w:marLeft w:val="0"/>
      <w:marRight w:val="0"/>
      <w:marTop w:val="0"/>
      <w:marBottom w:val="0"/>
      <w:divBdr>
        <w:top w:val="none" w:sz="0" w:space="0" w:color="auto"/>
        <w:left w:val="none" w:sz="0" w:space="0" w:color="auto"/>
        <w:bottom w:val="none" w:sz="0" w:space="0" w:color="auto"/>
        <w:right w:val="none" w:sz="0" w:space="0" w:color="auto"/>
      </w:divBdr>
    </w:div>
    <w:div w:id="601569193">
      <w:bodyDiv w:val="1"/>
      <w:marLeft w:val="0"/>
      <w:marRight w:val="0"/>
      <w:marTop w:val="0"/>
      <w:marBottom w:val="0"/>
      <w:divBdr>
        <w:top w:val="none" w:sz="0" w:space="0" w:color="auto"/>
        <w:left w:val="none" w:sz="0" w:space="0" w:color="auto"/>
        <w:bottom w:val="none" w:sz="0" w:space="0" w:color="auto"/>
        <w:right w:val="none" w:sz="0" w:space="0" w:color="auto"/>
      </w:divBdr>
    </w:div>
    <w:div w:id="616371374">
      <w:bodyDiv w:val="1"/>
      <w:marLeft w:val="0"/>
      <w:marRight w:val="0"/>
      <w:marTop w:val="0"/>
      <w:marBottom w:val="0"/>
      <w:divBdr>
        <w:top w:val="none" w:sz="0" w:space="0" w:color="auto"/>
        <w:left w:val="none" w:sz="0" w:space="0" w:color="auto"/>
        <w:bottom w:val="none" w:sz="0" w:space="0" w:color="auto"/>
        <w:right w:val="none" w:sz="0" w:space="0" w:color="auto"/>
      </w:divBdr>
    </w:div>
    <w:div w:id="627005680">
      <w:bodyDiv w:val="1"/>
      <w:marLeft w:val="0"/>
      <w:marRight w:val="0"/>
      <w:marTop w:val="0"/>
      <w:marBottom w:val="0"/>
      <w:divBdr>
        <w:top w:val="none" w:sz="0" w:space="0" w:color="auto"/>
        <w:left w:val="none" w:sz="0" w:space="0" w:color="auto"/>
        <w:bottom w:val="none" w:sz="0" w:space="0" w:color="auto"/>
        <w:right w:val="none" w:sz="0" w:space="0" w:color="auto"/>
      </w:divBdr>
    </w:div>
    <w:div w:id="643506379">
      <w:bodyDiv w:val="1"/>
      <w:marLeft w:val="0"/>
      <w:marRight w:val="0"/>
      <w:marTop w:val="0"/>
      <w:marBottom w:val="0"/>
      <w:divBdr>
        <w:top w:val="none" w:sz="0" w:space="0" w:color="auto"/>
        <w:left w:val="none" w:sz="0" w:space="0" w:color="auto"/>
        <w:bottom w:val="none" w:sz="0" w:space="0" w:color="auto"/>
        <w:right w:val="none" w:sz="0" w:space="0" w:color="auto"/>
      </w:divBdr>
    </w:div>
    <w:div w:id="673723512">
      <w:bodyDiv w:val="1"/>
      <w:marLeft w:val="0"/>
      <w:marRight w:val="0"/>
      <w:marTop w:val="0"/>
      <w:marBottom w:val="0"/>
      <w:divBdr>
        <w:top w:val="none" w:sz="0" w:space="0" w:color="auto"/>
        <w:left w:val="none" w:sz="0" w:space="0" w:color="auto"/>
        <w:bottom w:val="none" w:sz="0" w:space="0" w:color="auto"/>
        <w:right w:val="none" w:sz="0" w:space="0" w:color="auto"/>
      </w:divBdr>
    </w:div>
    <w:div w:id="674571706">
      <w:bodyDiv w:val="1"/>
      <w:marLeft w:val="0"/>
      <w:marRight w:val="0"/>
      <w:marTop w:val="0"/>
      <w:marBottom w:val="0"/>
      <w:divBdr>
        <w:top w:val="none" w:sz="0" w:space="0" w:color="auto"/>
        <w:left w:val="none" w:sz="0" w:space="0" w:color="auto"/>
        <w:bottom w:val="none" w:sz="0" w:space="0" w:color="auto"/>
        <w:right w:val="none" w:sz="0" w:space="0" w:color="auto"/>
      </w:divBdr>
    </w:div>
    <w:div w:id="677195543">
      <w:bodyDiv w:val="1"/>
      <w:marLeft w:val="0"/>
      <w:marRight w:val="0"/>
      <w:marTop w:val="0"/>
      <w:marBottom w:val="0"/>
      <w:divBdr>
        <w:top w:val="none" w:sz="0" w:space="0" w:color="auto"/>
        <w:left w:val="none" w:sz="0" w:space="0" w:color="auto"/>
        <w:bottom w:val="none" w:sz="0" w:space="0" w:color="auto"/>
        <w:right w:val="none" w:sz="0" w:space="0" w:color="auto"/>
      </w:divBdr>
    </w:div>
    <w:div w:id="679235957">
      <w:bodyDiv w:val="1"/>
      <w:marLeft w:val="0"/>
      <w:marRight w:val="0"/>
      <w:marTop w:val="0"/>
      <w:marBottom w:val="0"/>
      <w:divBdr>
        <w:top w:val="none" w:sz="0" w:space="0" w:color="auto"/>
        <w:left w:val="none" w:sz="0" w:space="0" w:color="auto"/>
        <w:bottom w:val="none" w:sz="0" w:space="0" w:color="auto"/>
        <w:right w:val="none" w:sz="0" w:space="0" w:color="auto"/>
      </w:divBdr>
    </w:div>
    <w:div w:id="680281132">
      <w:bodyDiv w:val="1"/>
      <w:marLeft w:val="0"/>
      <w:marRight w:val="0"/>
      <w:marTop w:val="0"/>
      <w:marBottom w:val="0"/>
      <w:divBdr>
        <w:top w:val="none" w:sz="0" w:space="0" w:color="auto"/>
        <w:left w:val="none" w:sz="0" w:space="0" w:color="auto"/>
        <w:bottom w:val="none" w:sz="0" w:space="0" w:color="auto"/>
        <w:right w:val="none" w:sz="0" w:space="0" w:color="auto"/>
      </w:divBdr>
    </w:div>
    <w:div w:id="684939431">
      <w:bodyDiv w:val="1"/>
      <w:marLeft w:val="0"/>
      <w:marRight w:val="0"/>
      <w:marTop w:val="0"/>
      <w:marBottom w:val="0"/>
      <w:divBdr>
        <w:top w:val="none" w:sz="0" w:space="0" w:color="auto"/>
        <w:left w:val="none" w:sz="0" w:space="0" w:color="auto"/>
        <w:bottom w:val="none" w:sz="0" w:space="0" w:color="auto"/>
        <w:right w:val="none" w:sz="0" w:space="0" w:color="auto"/>
      </w:divBdr>
    </w:div>
    <w:div w:id="690647000">
      <w:bodyDiv w:val="1"/>
      <w:marLeft w:val="0"/>
      <w:marRight w:val="0"/>
      <w:marTop w:val="0"/>
      <w:marBottom w:val="0"/>
      <w:divBdr>
        <w:top w:val="none" w:sz="0" w:space="0" w:color="auto"/>
        <w:left w:val="none" w:sz="0" w:space="0" w:color="auto"/>
        <w:bottom w:val="none" w:sz="0" w:space="0" w:color="auto"/>
        <w:right w:val="none" w:sz="0" w:space="0" w:color="auto"/>
      </w:divBdr>
    </w:div>
    <w:div w:id="692650557">
      <w:bodyDiv w:val="1"/>
      <w:marLeft w:val="0"/>
      <w:marRight w:val="0"/>
      <w:marTop w:val="0"/>
      <w:marBottom w:val="0"/>
      <w:divBdr>
        <w:top w:val="none" w:sz="0" w:space="0" w:color="auto"/>
        <w:left w:val="none" w:sz="0" w:space="0" w:color="auto"/>
        <w:bottom w:val="none" w:sz="0" w:space="0" w:color="auto"/>
        <w:right w:val="none" w:sz="0" w:space="0" w:color="auto"/>
      </w:divBdr>
    </w:div>
    <w:div w:id="710109079">
      <w:bodyDiv w:val="1"/>
      <w:marLeft w:val="0"/>
      <w:marRight w:val="0"/>
      <w:marTop w:val="0"/>
      <w:marBottom w:val="0"/>
      <w:divBdr>
        <w:top w:val="none" w:sz="0" w:space="0" w:color="auto"/>
        <w:left w:val="none" w:sz="0" w:space="0" w:color="auto"/>
        <w:bottom w:val="none" w:sz="0" w:space="0" w:color="auto"/>
        <w:right w:val="none" w:sz="0" w:space="0" w:color="auto"/>
      </w:divBdr>
    </w:div>
    <w:div w:id="717509815">
      <w:bodyDiv w:val="1"/>
      <w:marLeft w:val="0"/>
      <w:marRight w:val="0"/>
      <w:marTop w:val="0"/>
      <w:marBottom w:val="0"/>
      <w:divBdr>
        <w:top w:val="none" w:sz="0" w:space="0" w:color="auto"/>
        <w:left w:val="none" w:sz="0" w:space="0" w:color="auto"/>
        <w:bottom w:val="none" w:sz="0" w:space="0" w:color="auto"/>
        <w:right w:val="none" w:sz="0" w:space="0" w:color="auto"/>
      </w:divBdr>
    </w:div>
    <w:div w:id="723792765">
      <w:bodyDiv w:val="1"/>
      <w:marLeft w:val="0"/>
      <w:marRight w:val="0"/>
      <w:marTop w:val="0"/>
      <w:marBottom w:val="0"/>
      <w:divBdr>
        <w:top w:val="none" w:sz="0" w:space="0" w:color="auto"/>
        <w:left w:val="none" w:sz="0" w:space="0" w:color="auto"/>
        <w:bottom w:val="none" w:sz="0" w:space="0" w:color="auto"/>
        <w:right w:val="none" w:sz="0" w:space="0" w:color="auto"/>
      </w:divBdr>
    </w:div>
    <w:div w:id="736826649">
      <w:bodyDiv w:val="1"/>
      <w:marLeft w:val="0"/>
      <w:marRight w:val="0"/>
      <w:marTop w:val="0"/>
      <w:marBottom w:val="0"/>
      <w:divBdr>
        <w:top w:val="none" w:sz="0" w:space="0" w:color="auto"/>
        <w:left w:val="none" w:sz="0" w:space="0" w:color="auto"/>
        <w:bottom w:val="none" w:sz="0" w:space="0" w:color="auto"/>
        <w:right w:val="none" w:sz="0" w:space="0" w:color="auto"/>
      </w:divBdr>
    </w:div>
    <w:div w:id="739908720">
      <w:bodyDiv w:val="1"/>
      <w:marLeft w:val="0"/>
      <w:marRight w:val="0"/>
      <w:marTop w:val="0"/>
      <w:marBottom w:val="0"/>
      <w:divBdr>
        <w:top w:val="none" w:sz="0" w:space="0" w:color="auto"/>
        <w:left w:val="none" w:sz="0" w:space="0" w:color="auto"/>
        <w:bottom w:val="none" w:sz="0" w:space="0" w:color="auto"/>
        <w:right w:val="none" w:sz="0" w:space="0" w:color="auto"/>
      </w:divBdr>
    </w:div>
    <w:div w:id="747725609">
      <w:bodyDiv w:val="1"/>
      <w:marLeft w:val="0"/>
      <w:marRight w:val="0"/>
      <w:marTop w:val="0"/>
      <w:marBottom w:val="0"/>
      <w:divBdr>
        <w:top w:val="none" w:sz="0" w:space="0" w:color="auto"/>
        <w:left w:val="none" w:sz="0" w:space="0" w:color="auto"/>
        <w:bottom w:val="none" w:sz="0" w:space="0" w:color="auto"/>
        <w:right w:val="none" w:sz="0" w:space="0" w:color="auto"/>
      </w:divBdr>
    </w:div>
    <w:div w:id="751899892">
      <w:bodyDiv w:val="1"/>
      <w:marLeft w:val="0"/>
      <w:marRight w:val="0"/>
      <w:marTop w:val="0"/>
      <w:marBottom w:val="0"/>
      <w:divBdr>
        <w:top w:val="none" w:sz="0" w:space="0" w:color="auto"/>
        <w:left w:val="none" w:sz="0" w:space="0" w:color="auto"/>
        <w:bottom w:val="none" w:sz="0" w:space="0" w:color="auto"/>
        <w:right w:val="none" w:sz="0" w:space="0" w:color="auto"/>
      </w:divBdr>
    </w:div>
    <w:div w:id="775448475">
      <w:bodyDiv w:val="1"/>
      <w:marLeft w:val="0"/>
      <w:marRight w:val="0"/>
      <w:marTop w:val="0"/>
      <w:marBottom w:val="0"/>
      <w:divBdr>
        <w:top w:val="none" w:sz="0" w:space="0" w:color="auto"/>
        <w:left w:val="none" w:sz="0" w:space="0" w:color="auto"/>
        <w:bottom w:val="none" w:sz="0" w:space="0" w:color="auto"/>
        <w:right w:val="none" w:sz="0" w:space="0" w:color="auto"/>
      </w:divBdr>
    </w:div>
    <w:div w:id="777061019">
      <w:bodyDiv w:val="1"/>
      <w:marLeft w:val="0"/>
      <w:marRight w:val="0"/>
      <w:marTop w:val="0"/>
      <w:marBottom w:val="0"/>
      <w:divBdr>
        <w:top w:val="none" w:sz="0" w:space="0" w:color="auto"/>
        <w:left w:val="none" w:sz="0" w:space="0" w:color="auto"/>
        <w:bottom w:val="none" w:sz="0" w:space="0" w:color="auto"/>
        <w:right w:val="none" w:sz="0" w:space="0" w:color="auto"/>
      </w:divBdr>
    </w:div>
    <w:div w:id="777945000">
      <w:bodyDiv w:val="1"/>
      <w:marLeft w:val="0"/>
      <w:marRight w:val="0"/>
      <w:marTop w:val="0"/>
      <w:marBottom w:val="0"/>
      <w:divBdr>
        <w:top w:val="none" w:sz="0" w:space="0" w:color="auto"/>
        <w:left w:val="none" w:sz="0" w:space="0" w:color="auto"/>
        <w:bottom w:val="none" w:sz="0" w:space="0" w:color="auto"/>
        <w:right w:val="none" w:sz="0" w:space="0" w:color="auto"/>
      </w:divBdr>
    </w:div>
    <w:div w:id="804855183">
      <w:bodyDiv w:val="1"/>
      <w:marLeft w:val="0"/>
      <w:marRight w:val="0"/>
      <w:marTop w:val="0"/>
      <w:marBottom w:val="0"/>
      <w:divBdr>
        <w:top w:val="none" w:sz="0" w:space="0" w:color="auto"/>
        <w:left w:val="none" w:sz="0" w:space="0" w:color="auto"/>
        <w:bottom w:val="none" w:sz="0" w:space="0" w:color="auto"/>
        <w:right w:val="none" w:sz="0" w:space="0" w:color="auto"/>
      </w:divBdr>
    </w:div>
    <w:div w:id="813760988">
      <w:bodyDiv w:val="1"/>
      <w:marLeft w:val="0"/>
      <w:marRight w:val="0"/>
      <w:marTop w:val="0"/>
      <w:marBottom w:val="0"/>
      <w:divBdr>
        <w:top w:val="none" w:sz="0" w:space="0" w:color="auto"/>
        <w:left w:val="none" w:sz="0" w:space="0" w:color="auto"/>
        <w:bottom w:val="none" w:sz="0" w:space="0" w:color="auto"/>
        <w:right w:val="none" w:sz="0" w:space="0" w:color="auto"/>
      </w:divBdr>
    </w:div>
    <w:div w:id="825315704">
      <w:bodyDiv w:val="1"/>
      <w:marLeft w:val="0"/>
      <w:marRight w:val="0"/>
      <w:marTop w:val="0"/>
      <w:marBottom w:val="0"/>
      <w:divBdr>
        <w:top w:val="none" w:sz="0" w:space="0" w:color="auto"/>
        <w:left w:val="none" w:sz="0" w:space="0" w:color="auto"/>
        <w:bottom w:val="none" w:sz="0" w:space="0" w:color="auto"/>
        <w:right w:val="none" w:sz="0" w:space="0" w:color="auto"/>
      </w:divBdr>
    </w:div>
    <w:div w:id="826479798">
      <w:bodyDiv w:val="1"/>
      <w:marLeft w:val="0"/>
      <w:marRight w:val="0"/>
      <w:marTop w:val="0"/>
      <w:marBottom w:val="0"/>
      <w:divBdr>
        <w:top w:val="none" w:sz="0" w:space="0" w:color="auto"/>
        <w:left w:val="none" w:sz="0" w:space="0" w:color="auto"/>
        <w:bottom w:val="none" w:sz="0" w:space="0" w:color="auto"/>
        <w:right w:val="none" w:sz="0" w:space="0" w:color="auto"/>
      </w:divBdr>
    </w:div>
    <w:div w:id="830099137">
      <w:bodyDiv w:val="1"/>
      <w:marLeft w:val="0"/>
      <w:marRight w:val="0"/>
      <w:marTop w:val="0"/>
      <w:marBottom w:val="0"/>
      <w:divBdr>
        <w:top w:val="none" w:sz="0" w:space="0" w:color="auto"/>
        <w:left w:val="none" w:sz="0" w:space="0" w:color="auto"/>
        <w:bottom w:val="none" w:sz="0" w:space="0" w:color="auto"/>
        <w:right w:val="none" w:sz="0" w:space="0" w:color="auto"/>
      </w:divBdr>
    </w:div>
    <w:div w:id="845050972">
      <w:bodyDiv w:val="1"/>
      <w:marLeft w:val="0"/>
      <w:marRight w:val="0"/>
      <w:marTop w:val="0"/>
      <w:marBottom w:val="0"/>
      <w:divBdr>
        <w:top w:val="none" w:sz="0" w:space="0" w:color="auto"/>
        <w:left w:val="none" w:sz="0" w:space="0" w:color="auto"/>
        <w:bottom w:val="none" w:sz="0" w:space="0" w:color="auto"/>
        <w:right w:val="none" w:sz="0" w:space="0" w:color="auto"/>
      </w:divBdr>
    </w:div>
    <w:div w:id="871455404">
      <w:bodyDiv w:val="1"/>
      <w:marLeft w:val="0"/>
      <w:marRight w:val="0"/>
      <w:marTop w:val="0"/>
      <w:marBottom w:val="0"/>
      <w:divBdr>
        <w:top w:val="none" w:sz="0" w:space="0" w:color="auto"/>
        <w:left w:val="none" w:sz="0" w:space="0" w:color="auto"/>
        <w:bottom w:val="none" w:sz="0" w:space="0" w:color="auto"/>
        <w:right w:val="none" w:sz="0" w:space="0" w:color="auto"/>
      </w:divBdr>
    </w:div>
    <w:div w:id="882013670">
      <w:bodyDiv w:val="1"/>
      <w:marLeft w:val="0"/>
      <w:marRight w:val="0"/>
      <w:marTop w:val="0"/>
      <w:marBottom w:val="0"/>
      <w:divBdr>
        <w:top w:val="none" w:sz="0" w:space="0" w:color="auto"/>
        <w:left w:val="none" w:sz="0" w:space="0" w:color="auto"/>
        <w:bottom w:val="none" w:sz="0" w:space="0" w:color="auto"/>
        <w:right w:val="none" w:sz="0" w:space="0" w:color="auto"/>
      </w:divBdr>
    </w:div>
    <w:div w:id="890655102">
      <w:bodyDiv w:val="1"/>
      <w:marLeft w:val="0"/>
      <w:marRight w:val="0"/>
      <w:marTop w:val="0"/>
      <w:marBottom w:val="0"/>
      <w:divBdr>
        <w:top w:val="none" w:sz="0" w:space="0" w:color="auto"/>
        <w:left w:val="none" w:sz="0" w:space="0" w:color="auto"/>
        <w:bottom w:val="none" w:sz="0" w:space="0" w:color="auto"/>
        <w:right w:val="none" w:sz="0" w:space="0" w:color="auto"/>
      </w:divBdr>
    </w:div>
    <w:div w:id="907225256">
      <w:bodyDiv w:val="1"/>
      <w:marLeft w:val="0"/>
      <w:marRight w:val="0"/>
      <w:marTop w:val="0"/>
      <w:marBottom w:val="0"/>
      <w:divBdr>
        <w:top w:val="none" w:sz="0" w:space="0" w:color="auto"/>
        <w:left w:val="none" w:sz="0" w:space="0" w:color="auto"/>
        <w:bottom w:val="none" w:sz="0" w:space="0" w:color="auto"/>
        <w:right w:val="none" w:sz="0" w:space="0" w:color="auto"/>
      </w:divBdr>
    </w:div>
    <w:div w:id="910967548">
      <w:bodyDiv w:val="1"/>
      <w:marLeft w:val="0"/>
      <w:marRight w:val="0"/>
      <w:marTop w:val="0"/>
      <w:marBottom w:val="0"/>
      <w:divBdr>
        <w:top w:val="none" w:sz="0" w:space="0" w:color="auto"/>
        <w:left w:val="none" w:sz="0" w:space="0" w:color="auto"/>
        <w:bottom w:val="none" w:sz="0" w:space="0" w:color="auto"/>
        <w:right w:val="none" w:sz="0" w:space="0" w:color="auto"/>
      </w:divBdr>
    </w:div>
    <w:div w:id="916479690">
      <w:bodyDiv w:val="1"/>
      <w:marLeft w:val="0"/>
      <w:marRight w:val="0"/>
      <w:marTop w:val="0"/>
      <w:marBottom w:val="0"/>
      <w:divBdr>
        <w:top w:val="none" w:sz="0" w:space="0" w:color="auto"/>
        <w:left w:val="none" w:sz="0" w:space="0" w:color="auto"/>
        <w:bottom w:val="none" w:sz="0" w:space="0" w:color="auto"/>
        <w:right w:val="none" w:sz="0" w:space="0" w:color="auto"/>
      </w:divBdr>
    </w:div>
    <w:div w:id="919023222">
      <w:bodyDiv w:val="1"/>
      <w:marLeft w:val="0"/>
      <w:marRight w:val="0"/>
      <w:marTop w:val="0"/>
      <w:marBottom w:val="0"/>
      <w:divBdr>
        <w:top w:val="none" w:sz="0" w:space="0" w:color="auto"/>
        <w:left w:val="none" w:sz="0" w:space="0" w:color="auto"/>
        <w:bottom w:val="none" w:sz="0" w:space="0" w:color="auto"/>
        <w:right w:val="none" w:sz="0" w:space="0" w:color="auto"/>
      </w:divBdr>
    </w:div>
    <w:div w:id="929584831">
      <w:bodyDiv w:val="1"/>
      <w:marLeft w:val="0"/>
      <w:marRight w:val="0"/>
      <w:marTop w:val="0"/>
      <w:marBottom w:val="0"/>
      <w:divBdr>
        <w:top w:val="none" w:sz="0" w:space="0" w:color="auto"/>
        <w:left w:val="none" w:sz="0" w:space="0" w:color="auto"/>
        <w:bottom w:val="none" w:sz="0" w:space="0" w:color="auto"/>
        <w:right w:val="none" w:sz="0" w:space="0" w:color="auto"/>
      </w:divBdr>
    </w:div>
    <w:div w:id="937366834">
      <w:bodyDiv w:val="1"/>
      <w:marLeft w:val="0"/>
      <w:marRight w:val="0"/>
      <w:marTop w:val="0"/>
      <w:marBottom w:val="0"/>
      <w:divBdr>
        <w:top w:val="none" w:sz="0" w:space="0" w:color="auto"/>
        <w:left w:val="none" w:sz="0" w:space="0" w:color="auto"/>
        <w:bottom w:val="none" w:sz="0" w:space="0" w:color="auto"/>
        <w:right w:val="none" w:sz="0" w:space="0" w:color="auto"/>
      </w:divBdr>
    </w:div>
    <w:div w:id="942373639">
      <w:bodyDiv w:val="1"/>
      <w:marLeft w:val="0"/>
      <w:marRight w:val="0"/>
      <w:marTop w:val="0"/>
      <w:marBottom w:val="0"/>
      <w:divBdr>
        <w:top w:val="none" w:sz="0" w:space="0" w:color="auto"/>
        <w:left w:val="none" w:sz="0" w:space="0" w:color="auto"/>
        <w:bottom w:val="none" w:sz="0" w:space="0" w:color="auto"/>
        <w:right w:val="none" w:sz="0" w:space="0" w:color="auto"/>
      </w:divBdr>
    </w:div>
    <w:div w:id="946812996">
      <w:bodyDiv w:val="1"/>
      <w:marLeft w:val="0"/>
      <w:marRight w:val="0"/>
      <w:marTop w:val="0"/>
      <w:marBottom w:val="0"/>
      <w:divBdr>
        <w:top w:val="none" w:sz="0" w:space="0" w:color="auto"/>
        <w:left w:val="none" w:sz="0" w:space="0" w:color="auto"/>
        <w:bottom w:val="none" w:sz="0" w:space="0" w:color="auto"/>
        <w:right w:val="none" w:sz="0" w:space="0" w:color="auto"/>
      </w:divBdr>
    </w:div>
    <w:div w:id="968390851">
      <w:bodyDiv w:val="1"/>
      <w:marLeft w:val="0"/>
      <w:marRight w:val="0"/>
      <w:marTop w:val="0"/>
      <w:marBottom w:val="0"/>
      <w:divBdr>
        <w:top w:val="none" w:sz="0" w:space="0" w:color="auto"/>
        <w:left w:val="none" w:sz="0" w:space="0" w:color="auto"/>
        <w:bottom w:val="none" w:sz="0" w:space="0" w:color="auto"/>
        <w:right w:val="none" w:sz="0" w:space="0" w:color="auto"/>
      </w:divBdr>
    </w:div>
    <w:div w:id="969087862">
      <w:bodyDiv w:val="1"/>
      <w:marLeft w:val="0"/>
      <w:marRight w:val="0"/>
      <w:marTop w:val="0"/>
      <w:marBottom w:val="0"/>
      <w:divBdr>
        <w:top w:val="none" w:sz="0" w:space="0" w:color="auto"/>
        <w:left w:val="none" w:sz="0" w:space="0" w:color="auto"/>
        <w:bottom w:val="none" w:sz="0" w:space="0" w:color="auto"/>
        <w:right w:val="none" w:sz="0" w:space="0" w:color="auto"/>
      </w:divBdr>
    </w:div>
    <w:div w:id="981080078">
      <w:bodyDiv w:val="1"/>
      <w:marLeft w:val="0"/>
      <w:marRight w:val="0"/>
      <w:marTop w:val="0"/>
      <w:marBottom w:val="0"/>
      <w:divBdr>
        <w:top w:val="none" w:sz="0" w:space="0" w:color="auto"/>
        <w:left w:val="none" w:sz="0" w:space="0" w:color="auto"/>
        <w:bottom w:val="none" w:sz="0" w:space="0" w:color="auto"/>
        <w:right w:val="none" w:sz="0" w:space="0" w:color="auto"/>
      </w:divBdr>
    </w:div>
    <w:div w:id="982123113">
      <w:bodyDiv w:val="1"/>
      <w:marLeft w:val="0"/>
      <w:marRight w:val="0"/>
      <w:marTop w:val="0"/>
      <w:marBottom w:val="0"/>
      <w:divBdr>
        <w:top w:val="none" w:sz="0" w:space="0" w:color="auto"/>
        <w:left w:val="none" w:sz="0" w:space="0" w:color="auto"/>
        <w:bottom w:val="none" w:sz="0" w:space="0" w:color="auto"/>
        <w:right w:val="none" w:sz="0" w:space="0" w:color="auto"/>
      </w:divBdr>
    </w:div>
    <w:div w:id="996111778">
      <w:bodyDiv w:val="1"/>
      <w:marLeft w:val="0"/>
      <w:marRight w:val="0"/>
      <w:marTop w:val="0"/>
      <w:marBottom w:val="0"/>
      <w:divBdr>
        <w:top w:val="none" w:sz="0" w:space="0" w:color="auto"/>
        <w:left w:val="none" w:sz="0" w:space="0" w:color="auto"/>
        <w:bottom w:val="none" w:sz="0" w:space="0" w:color="auto"/>
        <w:right w:val="none" w:sz="0" w:space="0" w:color="auto"/>
      </w:divBdr>
    </w:div>
    <w:div w:id="1004434010">
      <w:bodyDiv w:val="1"/>
      <w:marLeft w:val="0"/>
      <w:marRight w:val="0"/>
      <w:marTop w:val="0"/>
      <w:marBottom w:val="0"/>
      <w:divBdr>
        <w:top w:val="none" w:sz="0" w:space="0" w:color="auto"/>
        <w:left w:val="none" w:sz="0" w:space="0" w:color="auto"/>
        <w:bottom w:val="none" w:sz="0" w:space="0" w:color="auto"/>
        <w:right w:val="none" w:sz="0" w:space="0" w:color="auto"/>
      </w:divBdr>
    </w:div>
    <w:div w:id="1006637734">
      <w:bodyDiv w:val="1"/>
      <w:marLeft w:val="0"/>
      <w:marRight w:val="0"/>
      <w:marTop w:val="0"/>
      <w:marBottom w:val="0"/>
      <w:divBdr>
        <w:top w:val="none" w:sz="0" w:space="0" w:color="auto"/>
        <w:left w:val="none" w:sz="0" w:space="0" w:color="auto"/>
        <w:bottom w:val="none" w:sz="0" w:space="0" w:color="auto"/>
        <w:right w:val="none" w:sz="0" w:space="0" w:color="auto"/>
      </w:divBdr>
    </w:div>
    <w:div w:id="1018652753">
      <w:bodyDiv w:val="1"/>
      <w:marLeft w:val="0"/>
      <w:marRight w:val="0"/>
      <w:marTop w:val="0"/>
      <w:marBottom w:val="0"/>
      <w:divBdr>
        <w:top w:val="none" w:sz="0" w:space="0" w:color="auto"/>
        <w:left w:val="none" w:sz="0" w:space="0" w:color="auto"/>
        <w:bottom w:val="none" w:sz="0" w:space="0" w:color="auto"/>
        <w:right w:val="none" w:sz="0" w:space="0" w:color="auto"/>
      </w:divBdr>
    </w:div>
    <w:div w:id="1026980910">
      <w:bodyDiv w:val="1"/>
      <w:marLeft w:val="0"/>
      <w:marRight w:val="0"/>
      <w:marTop w:val="0"/>
      <w:marBottom w:val="0"/>
      <w:divBdr>
        <w:top w:val="none" w:sz="0" w:space="0" w:color="auto"/>
        <w:left w:val="none" w:sz="0" w:space="0" w:color="auto"/>
        <w:bottom w:val="none" w:sz="0" w:space="0" w:color="auto"/>
        <w:right w:val="none" w:sz="0" w:space="0" w:color="auto"/>
      </w:divBdr>
    </w:div>
    <w:div w:id="1028605697">
      <w:bodyDiv w:val="1"/>
      <w:marLeft w:val="0"/>
      <w:marRight w:val="0"/>
      <w:marTop w:val="0"/>
      <w:marBottom w:val="0"/>
      <w:divBdr>
        <w:top w:val="none" w:sz="0" w:space="0" w:color="auto"/>
        <w:left w:val="none" w:sz="0" w:space="0" w:color="auto"/>
        <w:bottom w:val="none" w:sz="0" w:space="0" w:color="auto"/>
        <w:right w:val="none" w:sz="0" w:space="0" w:color="auto"/>
      </w:divBdr>
    </w:div>
    <w:div w:id="1029601543">
      <w:bodyDiv w:val="1"/>
      <w:marLeft w:val="0"/>
      <w:marRight w:val="0"/>
      <w:marTop w:val="0"/>
      <w:marBottom w:val="0"/>
      <w:divBdr>
        <w:top w:val="none" w:sz="0" w:space="0" w:color="auto"/>
        <w:left w:val="none" w:sz="0" w:space="0" w:color="auto"/>
        <w:bottom w:val="none" w:sz="0" w:space="0" w:color="auto"/>
        <w:right w:val="none" w:sz="0" w:space="0" w:color="auto"/>
      </w:divBdr>
    </w:div>
    <w:div w:id="1061364094">
      <w:bodyDiv w:val="1"/>
      <w:marLeft w:val="0"/>
      <w:marRight w:val="0"/>
      <w:marTop w:val="0"/>
      <w:marBottom w:val="0"/>
      <w:divBdr>
        <w:top w:val="none" w:sz="0" w:space="0" w:color="auto"/>
        <w:left w:val="none" w:sz="0" w:space="0" w:color="auto"/>
        <w:bottom w:val="none" w:sz="0" w:space="0" w:color="auto"/>
        <w:right w:val="none" w:sz="0" w:space="0" w:color="auto"/>
      </w:divBdr>
    </w:div>
    <w:div w:id="1115520188">
      <w:bodyDiv w:val="1"/>
      <w:marLeft w:val="0"/>
      <w:marRight w:val="0"/>
      <w:marTop w:val="0"/>
      <w:marBottom w:val="0"/>
      <w:divBdr>
        <w:top w:val="none" w:sz="0" w:space="0" w:color="auto"/>
        <w:left w:val="none" w:sz="0" w:space="0" w:color="auto"/>
        <w:bottom w:val="none" w:sz="0" w:space="0" w:color="auto"/>
        <w:right w:val="none" w:sz="0" w:space="0" w:color="auto"/>
      </w:divBdr>
    </w:div>
    <w:div w:id="1134178850">
      <w:bodyDiv w:val="1"/>
      <w:marLeft w:val="0"/>
      <w:marRight w:val="0"/>
      <w:marTop w:val="0"/>
      <w:marBottom w:val="0"/>
      <w:divBdr>
        <w:top w:val="none" w:sz="0" w:space="0" w:color="auto"/>
        <w:left w:val="none" w:sz="0" w:space="0" w:color="auto"/>
        <w:bottom w:val="none" w:sz="0" w:space="0" w:color="auto"/>
        <w:right w:val="none" w:sz="0" w:space="0" w:color="auto"/>
      </w:divBdr>
    </w:div>
    <w:div w:id="1134444625">
      <w:bodyDiv w:val="1"/>
      <w:marLeft w:val="0"/>
      <w:marRight w:val="0"/>
      <w:marTop w:val="0"/>
      <w:marBottom w:val="0"/>
      <w:divBdr>
        <w:top w:val="none" w:sz="0" w:space="0" w:color="auto"/>
        <w:left w:val="none" w:sz="0" w:space="0" w:color="auto"/>
        <w:bottom w:val="none" w:sz="0" w:space="0" w:color="auto"/>
        <w:right w:val="none" w:sz="0" w:space="0" w:color="auto"/>
      </w:divBdr>
    </w:div>
    <w:div w:id="1142311928">
      <w:bodyDiv w:val="1"/>
      <w:marLeft w:val="0"/>
      <w:marRight w:val="0"/>
      <w:marTop w:val="0"/>
      <w:marBottom w:val="0"/>
      <w:divBdr>
        <w:top w:val="none" w:sz="0" w:space="0" w:color="auto"/>
        <w:left w:val="none" w:sz="0" w:space="0" w:color="auto"/>
        <w:bottom w:val="none" w:sz="0" w:space="0" w:color="auto"/>
        <w:right w:val="none" w:sz="0" w:space="0" w:color="auto"/>
      </w:divBdr>
    </w:div>
    <w:div w:id="1145507348">
      <w:bodyDiv w:val="1"/>
      <w:marLeft w:val="0"/>
      <w:marRight w:val="0"/>
      <w:marTop w:val="0"/>
      <w:marBottom w:val="0"/>
      <w:divBdr>
        <w:top w:val="none" w:sz="0" w:space="0" w:color="auto"/>
        <w:left w:val="none" w:sz="0" w:space="0" w:color="auto"/>
        <w:bottom w:val="none" w:sz="0" w:space="0" w:color="auto"/>
        <w:right w:val="none" w:sz="0" w:space="0" w:color="auto"/>
      </w:divBdr>
    </w:div>
    <w:div w:id="1150633874">
      <w:bodyDiv w:val="1"/>
      <w:marLeft w:val="0"/>
      <w:marRight w:val="0"/>
      <w:marTop w:val="0"/>
      <w:marBottom w:val="0"/>
      <w:divBdr>
        <w:top w:val="none" w:sz="0" w:space="0" w:color="auto"/>
        <w:left w:val="none" w:sz="0" w:space="0" w:color="auto"/>
        <w:bottom w:val="none" w:sz="0" w:space="0" w:color="auto"/>
        <w:right w:val="none" w:sz="0" w:space="0" w:color="auto"/>
      </w:divBdr>
    </w:div>
    <w:div w:id="1157185153">
      <w:bodyDiv w:val="1"/>
      <w:marLeft w:val="0"/>
      <w:marRight w:val="0"/>
      <w:marTop w:val="0"/>
      <w:marBottom w:val="0"/>
      <w:divBdr>
        <w:top w:val="none" w:sz="0" w:space="0" w:color="auto"/>
        <w:left w:val="none" w:sz="0" w:space="0" w:color="auto"/>
        <w:bottom w:val="none" w:sz="0" w:space="0" w:color="auto"/>
        <w:right w:val="none" w:sz="0" w:space="0" w:color="auto"/>
      </w:divBdr>
    </w:div>
    <w:div w:id="1176309862">
      <w:bodyDiv w:val="1"/>
      <w:marLeft w:val="0"/>
      <w:marRight w:val="0"/>
      <w:marTop w:val="0"/>
      <w:marBottom w:val="0"/>
      <w:divBdr>
        <w:top w:val="none" w:sz="0" w:space="0" w:color="auto"/>
        <w:left w:val="none" w:sz="0" w:space="0" w:color="auto"/>
        <w:bottom w:val="none" w:sz="0" w:space="0" w:color="auto"/>
        <w:right w:val="none" w:sz="0" w:space="0" w:color="auto"/>
      </w:divBdr>
    </w:div>
    <w:div w:id="1182278813">
      <w:bodyDiv w:val="1"/>
      <w:marLeft w:val="0"/>
      <w:marRight w:val="0"/>
      <w:marTop w:val="0"/>
      <w:marBottom w:val="0"/>
      <w:divBdr>
        <w:top w:val="none" w:sz="0" w:space="0" w:color="auto"/>
        <w:left w:val="none" w:sz="0" w:space="0" w:color="auto"/>
        <w:bottom w:val="none" w:sz="0" w:space="0" w:color="auto"/>
        <w:right w:val="none" w:sz="0" w:space="0" w:color="auto"/>
      </w:divBdr>
    </w:div>
    <w:div w:id="1185360369">
      <w:bodyDiv w:val="1"/>
      <w:marLeft w:val="0"/>
      <w:marRight w:val="0"/>
      <w:marTop w:val="0"/>
      <w:marBottom w:val="0"/>
      <w:divBdr>
        <w:top w:val="none" w:sz="0" w:space="0" w:color="auto"/>
        <w:left w:val="none" w:sz="0" w:space="0" w:color="auto"/>
        <w:bottom w:val="none" w:sz="0" w:space="0" w:color="auto"/>
        <w:right w:val="none" w:sz="0" w:space="0" w:color="auto"/>
      </w:divBdr>
    </w:div>
    <w:div w:id="1198660494">
      <w:bodyDiv w:val="1"/>
      <w:marLeft w:val="0"/>
      <w:marRight w:val="0"/>
      <w:marTop w:val="0"/>
      <w:marBottom w:val="0"/>
      <w:divBdr>
        <w:top w:val="none" w:sz="0" w:space="0" w:color="auto"/>
        <w:left w:val="none" w:sz="0" w:space="0" w:color="auto"/>
        <w:bottom w:val="none" w:sz="0" w:space="0" w:color="auto"/>
        <w:right w:val="none" w:sz="0" w:space="0" w:color="auto"/>
      </w:divBdr>
    </w:div>
    <w:div w:id="1199004731">
      <w:bodyDiv w:val="1"/>
      <w:marLeft w:val="0"/>
      <w:marRight w:val="0"/>
      <w:marTop w:val="0"/>
      <w:marBottom w:val="0"/>
      <w:divBdr>
        <w:top w:val="none" w:sz="0" w:space="0" w:color="auto"/>
        <w:left w:val="none" w:sz="0" w:space="0" w:color="auto"/>
        <w:bottom w:val="none" w:sz="0" w:space="0" w:color="auto"/>
        <w:right w:val="none" w:sz="0" w:space="0" w:color="auto"/>
      </w:divBdr>
    </w:div>
    <w:div w:id="1208182144">
      <w:bodyDiv w:val="1"/>
      <w:marLeft w:val="0"/>
      <w:marRight w:val="0"/>
      <w:marTop w:val="0"/>
      <w:marBottom w:val="0"/>
      <w:divBdr>
        <w:top w:val="none" w:sz="0" w:space="0" w:color="auto"/>
        <w:left w:val="none" w:sz="0" w:space="0" w:color="auto"/>
        <w:bottom w:val="none" w:sz="0" w:space="0" w:color="auto"/>
        <w:right w:val="none" w:sz="0" w:space="0" w:color="auto"/>
      </w:divBdr>
    </w:div>
    <w:div w:id="1220432697">
      <w:bodyDiv w:val="1"/>
      <w:marLeft w:val="0"/>
      <w:marRight w:val="0"/>
      <w:marTop w:val="0"/>
      <w:marBottom w:val="0"/>
      <w:divBdr>
        <w:top w:val="none" w:sz="0" w:space="0" w:color="auto"/>
        <w:left w:val="none" w:sz="0" w:space="0" w:color="auto"/>
        <w:bottom w:val="none" w:sz="0" w:space="0" w:color="auto"/>
        <w:right w:val="none" w:sz="0" w:space="0" w:color="auto"/>
      </w:divBdr>
    </w:div>
    <w:div w:id="1223827607">
      <w:bodyDiv w:val="1"/>
      <w:marLeft w:val="0"/>
      <w:marRight w:val="0"/>
      <w:marTop w:val="0"/>
      <w:marBottom w:val="0"/>
      <w:divBdr>
        <w:top w:val="none" w:sz="0" w:space="0" w:color="auto"/>
        <w:left w:val="none" w:sz="0" w:space="0" w:color="auto"/>
        <w:bottom w:val="none" w:sz="0" w:space="0" w:color="auto"/>
        <w:right w:val="none" w:sz="0" w:space="0" w:color="auto"/>
      </w:divBdr>
    </w:div>
    <w:div w:id="1241057577">
      <w:bodyDiv w:val="1"/>
      <w:marLeft w:val="0"/>
      <w:marRight w:val="0"/>
      <w:marTop w:val="0"/>
      <w:marBottom w:val="0"/>
      <w:divBdr>
        <w:top w:val="none" w:sz="0" w:space="0" w:color="auto"/>
        <w:left w:val="none" w:sz="0" w:space="0" w:color="auto"/>
        <w:bottom w:val="none" w:sz="0" w:space="0" w:color="auto"/>
        <w:right w:val="none" w:sz="0" w:space="0" w:color="auto"/>
      </w:divBdr>
    </w:div>
    <w:div w:id="1277441409">
      <w:bodyDiv w:val="1"/>
      <w:marLeft w:val="0"/>
      <w:marRight w:val="0"/>
      <w:marTop w:val="0"/>
      <w:marBottom w:val="0"/>
      <w:divBdr>
        <w:top w:val="none" w:sz="0" w:space="0" w:color="auto"/>
        <w:left w:val="none" w:sz="0" w:space="0" w:color="auto"/>
        <w:bottom w:val="none" w:sz="0" w:space="0" w:color="auto"/>
        <w:right w:val="none" w:sz="0" w:space="0" w:color="auto"/>
      </w:divBdr>
    </w:div>
    <w:div w:id="1287663247">
      <w:bodyDiv w:val="1"/>
      <w:marLeft w:val="0"/>
      <w:marRight w:val="0"/>
      <w:marTop w:val="0"/>
      <w:marBottom w:val="0"/>
      <w:divBdr>
        <w:top w:val="none" w:sz="0" w:space="0" w:color="auto"/>
        <w:left w:val="none" w:sz="0" w:space="0" w:color="auto"/>
        <w:bottom w:val="none" w:sz="0" w:space="0" w:color="auto"/>
        <w:right w:val="none" w:sz="0" w:space="0" w:color="auto"/>
      </w:divBdr>
    </w:div>
    <w:div w:id="1292396373">
      <w:bodyDiv w:val="1"/>
      <w:marLeft w:val="0"/>
      <w:marRight w:val="0"/>
      <w:marTop w:val="0"/>
      <w:marBottom w:val="0"/>
      <w:divBdr>
        <w:top w:val="none" w:sz="0" w:space="0" w:color="auto"/>
        <w:left w:val="none" w:sz="0" w:space="0" w:color="auto"/>
        <w:bottom w:val="none" w:sz="0" w:space="0" w:color="auto"/>
        <w:right w:val="none" w:sz="0" w:space="0" w:color="auto"/>
      </w:divBdr>
    </w:div>
    <w:div w:id="1306812954">
      <w:bodyDiv w:val="1"/>
      <w:marLeft w:val="0"/>
      <w:marRight w:val="0"/>
      <w:marTop w:val="0"/>
      <w:marBottom w:val="0"/>
      <w:divBdr>
        <w:top w:val="none" w:sz="0" w:space="0" w:color="auto"/>
        <w:left w:val="none" w:sz="0" w:space="0" w:color="auto"/>
        <w:bottom w:val="none" w:sz="0" w:space="0" w:color="auto"/>
        <w:right w:val="none" w:sz="0" w:space="0" w:color="auto"/>
      </w:divBdr>
    </w:div>
    <w:div w:id="1323201016">
      <w:bodyDiv w:val="1"/>
      <w:marLeft w:val="0"/>
      <w:marRight w:val="0"/>
      <w:marTop w:val="0"/>
      <w:marBottom w:val="0"/>
      <w:divBdr>
        <w:top w:val="none" w:sz="0" w:space="0" w:color="auto"/>
        <w:left w:val="none" w:sz="0" w:space="0" w:color="auto"/>
        <w:bottom w:val="none" w:sz="0" w:space="0" w:color="auto"/>
        <w:right w:val="none" w:sz="0" w:space="0" w:color="auto"/>
      </w:divBdr>
    </w:div>
    <w:div w:id="1328745934">
      <w:bodyDiv w:val="1"/>
      <w:marLeft w:val="0"/>
      <w:marRight w:val="0"/>
      <w:marTop w:val="0"/>
      <w:marBottom w:val="0"/>
      <w:divBdr>
        <w:top w:val="none" w:sz="0" w:space="0" w:color="auto"/>
        <w:left w:val="none" w:sz="0" w:space="0" w:color="auto"/>
        <w:bottom w:val="none" w:sz="0" w:space="0" w:color="auto"/>
        <w:right w:val="none" w:sz="0" w:space="0" w:color="auto"/>
      </w:divBdr>
    </w:div>
    <w:div w:id="1329209610">
      <w:bodyDiv w:val="1"/>
      <w:marLeft w:val="0"/>
      <w:marRight w:val="0"/>
      <w:marTop w:val="0"/>
      <w:marBottom w:val="0"/>
      <w:divBdr>
        <w:top w:val="none" w:sz="0" w:space="0" w:color="auto"/>
        <w:left w:val="none" w:sz="0" w:space="0" w:color="auto"/>
        <w:bottom w:val="none" w:sz="0" w:space="0" w:color="auto"/>
        <w:right w:val="none" w:sz="0" w:space="0" w:color="auto"/>
      </w:divBdr>
    </w:div>
    <w:div w:id="1351447611">
      <w:bodyDiv w:val="1"/>
      <w:marLeft w:val="0"/>
      <w:marRight w:val="0"/>
      <w:marTop w:val="0"/>
      <w:marBottom w:val="0"/>
      <w:divBdr>
        <w:top w:val="none" w:sz="0" w:space="0" w:color="auto"/>
        <w:left w:val="none" w:sz="0" w:space="0" w:color="auto"/>
        <w:bottom w:val="none" w:sz="0" w:space="0" w:color="auto"/>
        <w:right w:val="none" w:sz="0" w:space="0" w:color="auto"/>
      </w:divBdr>
    </w:div>
    <w:div w:id="1360741600">
      <w:bodyDiv w:val="1"/>
      <w:marLeft w:val="0"/>
      <w:marRight w:val="0"/>
      <w:marTop w:val="0"/>
      <w:marBottom w:val="0"/>
      <w:divBdr>
        <w:top w:val="none" w:sz="0" w:space="0" w:color="auto"/>
        <w:left w:val="none" w:sz="0" w:space="0" w:color="auto"/>
        <w:bottom w:val="none" w:sz="0" w:space="0" w:color="auto"/>
        <w:right w:val="none" w:sz="0" w:space="0" w:color="auto"/>
      </w:divBdr>
    </w:div>
    <w:div w:id="1381589695">
      <w:bodyDiv w:val="1"/>
      <w:marLeft w:val="0"/>
      <w:marRight w:val="0"/>
      <w:marTop w:val="0"/>
      <w:marBottom w:val="0"/>
      <w:divBdr>
        <w:top w:val="none" w:sz="0" w:space="0" w:color="auto"/>
        <w:left w:val="none" w:sz="0" w:space="0" w:color="auto"/>
        <w:bottom w:val="none" w:sz="0" w:space="0" w:color="auto"/>
        <w:right w:val="none" w:sz="0" w:space="0" w:color="auto"/>
      </w:divBdr>
    </w:div>
    <w:div w:id="1383479930">
      <w:bodyDiv w:val="1"/>
      <w:marLeft w:val="0"/>
      <w:marRight w:val="0"/>
      <w:marTop w:val="0"/>
      <w:marBottom w:val="0"/>
      <w:divBdr>
        <w:top w:val="none" w:sz="0" w:space="0" w:color="auto"/>
        <w:left w:val="none" w:sz="0" w:space="0" w:color="auto"/>
        <w:bottom w:val="none" w:sz="0" w:space="0" w:color="auto"/>
        <w:right w:val="none" w:sz="0" w:space="0" w:color="auto"/>
      </w:divBdr>
    </w:div>
    <w:div w:id="1398894290">
      <w:bodyDiv w:val="1"/>
      <w:marLeft w:val="0"/>
      <w:marRight w:val="0"/>
      <w:marTop w:val="0"/>
      <w:marBottom w:val="0"/>
      <w:divBdr>
        <w:top w:val="none" w:sz="0" w:space="0" w:color="auto"/>
        <w:left w:val="none" w:sz="0" w:space="0" w:color="auto"/>
        <w:bottom w:val="none" w:sz="0" w:space="0" w:color="auto"/>
        <w:right w:val="none" w:sz="0" w:space="0" w:color="auto"/>
      </w:divBdr>
    </w:div>
    <w:div w:id="1400519129">
      <w:bodyDiv w:val="1"/>
      <w:marLeft w:val="0"/>
      <w:marRight w:val="0"/>
      <w:marTop w:val="0"/>
      <w:marBottom w:val="0"/>
      <w:divBdr>
        <w:top w:val="none" w:sz="0" w:space="0" w:color="auto"/>
        <w:left w:val="none" w:sz="0" w:space="0" w:color="auto"/>
        <w:bottom w:val="none" w:sz="0" w:space="0" w:color="auto"/>
        <w:right w:val="none" w:sz="0" w:space="0" w:color="auto"/>
      </w:divBdr>
    </w:div>
    <w:div w:id="1411341929">
      <w:bodyDiv w:val="1"/>
      <w:marLeft w:val="0"/>
      <w:marRight w:val="0"/>
      <w:marTop w:val="0"/>
      <w:marBottom w:val="0"/>
      <w:divBdr>
        <w:top w:val="none" w:sz="0" w:space="0" w:color="auto"/>
        <w:left w:val="none" w:sz="0" w:space="0" w:color="auto"/>
        <w:bottom w:val="none" w:sz="0" w:space="0" w:color="auto"/>
        <w:right w:val="none" w:sz="0" w:space="0" w:color="auto"/>
      </w:divBdr>
    </w:div>
    <w:div w:id="1415276259">
      <w:bodyDiv w:val="1"/>
      <w:marLeft w:val="0"/>
      <w:marRight w:val="0"/>
      <w:marTop w:val="0"/>
      <w:marBottom w:val="0"/>
      <w:divBdr>
        <w:top w:val="none" w:sz="0" w:space="0" w:color="auto"/>
        <w:left w:val="none" w:sz="0" w:space="0" w:color="auto"/>
        <w:bottom w:val="none" w:sz="0" w:space="0" w:color="auto"/>
        <w:right w:val="none" w:sz="0" w:space="0" w:color="auto"/>
      </w:divBdr>
    </w:div>
    <w:div w:id="1420296837">
      <w:bodyDiv w:val="1"/>
      <w:marLeft w:val="0"/>
      <w:marRight w:val="0"/>
      <w:marTop w:val="0"/>
      <w:marBottom w:val="0"/>
      <w:divBdr>
        <w:top w:val="none" w:sz="0" w:space="0" w:color="auto"/>
        <w:left w:val="none" w:sz="0" w:space="0" w:color="auto"/>
        <w:bottom w:val="none" w:sz="0" w:space="0" w:color="auto"/>
        <w:right w:val="none" w:sz="0" w:space="0" w:color="auto"/>
      </w:divBdr>
    </w:div>
    <w:div w:id="1430200615">
      <w:bodyDiv w:val="1"/>
      <w:marLeft w:val="0"/>
      <w:marRight w:val="0"/>
      <w:marTop w:val="0"/>
      <w:marBottom w:val="0"/>
      <w:divBdr>
        <w:top w:val="none" w:sz="0" w:space="0" w:color="auto"/>
        <w:left w:val="none" w:sz="0" w:space="0" w:color="auto"/>
        <w:bottom w:val="none" w:sz="0" w:space="0" w:color="auto"/>
        <w:right w:val="none" w:sz="0" w:space="0" w:color="auto"/>
      </w:divBdr>
    </w:div>
    <w:div w:id="1439566950">
      <w:bodyDiv w:val="1"/>
      <w:marLeft w:val="0"/>
      <w:marRight w:val="0"/>
      <w:marTop w:val="0"/>
      <w:marBottom w:val="0"/>
      <w:divBdr>
        <w:top w:val="none" w:sz="0" w:space="0" w:color="auto"/>
        <w:left w:val="none" w:sz="0" w:space="0" w:color="auto"/>
        <w:bottom w:val="none" w:sz="0" w:space="0" w:color="auto"/>
        <w:right w:val="none" w:sz="0" w:space="0" w:color="auto"/>
      </w:divBdr>
    </w:div>
    <w:div w:id="1467626976">
      <w:bodyDiv w:val="1"/>
      <w:marLeft w:val="0"/>
      <w:marRight w:val="0"/>
      <w:marTop w:val="0"/>
      <w:marBottom w:val="0"/>
      <w:divBdr>
        <w:top w:val="none" w:sz="0" w:space="0" w:color="auto"/>
        <w:left w:val="none" w:sz="0" w:space="0" w:color="auto"/>
        <w:bottom w:val="none" w:sz="0" w:space="0" w:color="auto"/>
        <w:right w:val="none" w:sz="0" w:space="0" w:color="auto"/>
      </w:divBdr>
    </w:div>
    <w:div w:id="1472020898">
      <w:bodyDiv w:val="1"/>
      <w:marLeft w:val="0"/>
      <w:marRight w:val="0"/>
      <w:marTop w:val="0"/>
      <w:marBottom w:val="0"/>
      <w:divBdr>
        <w:top w:val="none" w:sz="0" w:space="0" w:color="auto"/>
        <w:left w:val="none" w:sz="0" w:space="0" w:color="auto"/>
        <w:bottom w:val="none" w:sz="0" w:space="0" w:color="auto"/>
        <w:right w:val="none" w:sz="0" w:space="0" w:color="auto"/>
      </w:divBdr>
    </w:div>
    <w:div w:id="1479689460">
      <w:bodyDiv w:val="1"/>
      <w:marLeft w:val="0"/>
      <w:marRight w:val="0"/>
      <w:marTop w:val="0"/>
      <w:marBottom w:val="0"/>
      <w:divBdr>
        <w:top w:val="none" w:sz="0" w:space="0" w:color="auto"/>
        <w:left w:val="none" w:sz="0" w:space="0" w:color="auto"/>
        <w:bottom w:val="none" w:sz="0" w:space="0" w:color="auto"/>
        <w:right w:val="none" w:sz="0" w:space="0" w:color="auto"/>
      </w:divBdr>
    </w:div>
    <w:div w:id="1480415633">
      <w:bodyDiv w:val="1"/>
      <w:marLeft w:val="0"/>
      <w:marRight w:val="0"/>
      <w:marTop w:val="0"/>
      <w:marBottom w:val="0"/>
      <w:divBdr>
        <w:top w:val="none" w:sz="0" w:space="0" w:color="auto"/>
        <w:left w:val="none" w:sz="0" w:space="0" w:color="auto"/>
        <w:bottom w:val="none" w:sz="0" w:space="0" w:color="auto"/>
        <w:right w:val="none" w:sz="0" w:space="0" w:color="auto"/>
      </w:divBdr>
    </w:div>
    <w:div w:id="1480882116">
      <w:bodyDiv w:val="1"/>
      <w:marLeft w:val="0"/>
      <w:marRight w:val="0"/>
      <w:marTop w:val="0"/>
      <w:marBottom w:val="0"/>
      <w:divBdr>
        <w:top w:val="none" w:sz="0" w:space="0" w:color="auto"/>
        <w:left w:val="none" w:sz="0" w:space="0" w:color="auto"/>
        <w:bottom w:val="none" w:sz="0" w:space="0" w:color="auto"/>
        <w:right w:val="none" w:sz="0" w:space="0" w:color="auto"/>
      </w:divBdr>
    </w:div>
    <w:div w:id="1490319042">
      <w:bodyDiv w:val="1"/>
      <w:marLeft w:val="0"/>
      <w:marRight w:val="0"/>
      <w:marTop w:val="0"/>
      <w:marBottom w:val="0"/>
      <w:divBdr>
        <w:top w:val="none" w:sz="0" w:space="0" w:color="auto"/>
        <w:left w:val="none" w:sz="0" w:space="0" w:color="auto"/>
        <w:bottom w:val="none" w:sz="0" w:space="0" w:color="auto"/>
        <w:right w:val="none" w:sz="0" w:space="0" w:color="auto"/>
      </w:divBdr>
    </w:div>
    <w:div w:id="1495029096">
      <w:bodyDiv w:val="1"/>
      <w:marLeft w:val="0"/>
      <w:marRight w:val="0"/>
      <w:marTop w:val="0"/>
      <w:marBottom w:val="0"/>
      <w:divBdr>
        <w:top w:val="none" w:sz="0" w:space="0" w:color="auto"/>
        <w:left w:val="none" w:sz="0" w:space="0" w:color="auto"/>
        <w:bottom w:val="none" w:sz="0" w:space="0" w:color="auto"/>
        <w:right w:val="none" w:sz="0" w:space="0" w:color="auto"/>
      </w:divBdr>
    </w:div>
    <w:div w:id="1497912785">
      <w:bodyDiv w:val="1"/>
      <w:marLeft w:val="0"/>
      <w:marRight w:val="0"/>
      <w:marTop w:val="0"/>
      <w:marBottom w:val="0"/>
      <w:divBdr>
        <w:top w:val="none" w:sz="0" w:space="0" w:color="auto"/>
        <w:left w:val="none" w:sz="0" w:space="0" w:color="auto"/>
        <w:bottom w:val="none" w:sz="0" w:space="0" w:color="auto"/>
        <w:right w:val="none" w:sz="0" w:space="0" w:color="auto"/>
      </w:divBdr>
    </w:div>
    <w:div w:id="1503624165">
      <w:bodyDiv w:val="1"/>
      <w:marLeft w:val="0"/>
      <w:marRight w:val="0"/>
      <w:marTop w:val="0"/>
      <w:marBottom w:val="0"/>
      <w:divBdr>
        <w:top w:val="none" w:sz="0" w:space="0" w:color="auto"/>
        <w:left w:val="none" w:sz="0" w:space="0" w:color="auto"/>
        <w:bottom w:val="none" w:sz="0" w:space="0" w:color="auto"/>
        <w:right w:val="none" w:sz="0" w:space="0" w:color="auto"/>
      </w:divBdr>
    </w:div>
    <w:div w:id="1504314727">
      <w:bodyDiv w:val="1"/>
      <w:marLeft w:val="0"/>
      <w:marRight w:val="0"/>
      <w:marTop w:val="0"/>
      <w:marBottom w:val="0"/>
      <w:divBdr>
        <w:top w:val="none" w:sz="0" w:space="0" w:color="auto"/>
        <w:left w:val="none" w:sz="0" w:space="0" w:color="auto"/>
        <w:bottom w:val="none" w:sz="0" w:space="0" w:color="auto"/>
        <w:right w:val="none" w:sz="0" w:space="0" w:color="auto"/>
      </w:divBdr>
    </w:div>
    <w:div w:id="1508522021">
      <w:bodyDiv w:val="1"/>
      <w:marLeft w:val="0"/>
      <w:marRight w:val="0"/>
      <w:marTop w:val="0"/>
      <w:marBottom w:val="0"/>
      <w:divBdr>
        <w:top w:val="none" w:sz="0" w:space="0" w:color="auto"/>
        <w:left w:val="none" w:sz="0" w:space="0" w:color="auto"/>
        <w:bottom w:val="none" w:sz="0" w:space="0" w:color="auto"/>
        <w:right w:val="none" w:sz="0" w:space="0" w:color="auto"/>
      </w:divBdr>
    </w:div>
    <w:div w:id="1510683252">
      <w:bodyDiv w:val="1"/>
      <w:marLeft w:val="0"/>
      <w:marRight w:val="0"/>
      <w:marTop w:val="0"/>
      <w:marBottom w:val="0"/>
      <w:divBdr>
        <w:top w:val="none" w:sz="0" w:space="0" w:color="auto"/>
        <w:left w:val="none" w:sz="0" w:space="0" w:color="auto"/>
        <w:bottom w:val="none" w:sz="0" w:space="0" w:color="auto"/>
        <w:right w:val="none" w:sz="0" w:space="0" w:color="auto"/>
      </w:divBdr>
    </w:div>
    <w:div w:id="1515342840">
      <w:bodyDiv w:val="1"/>
      <w:marLeft w:val="0"/>
      <w:marRight w:val="0"/>
      <w:marTop w:val="0"/>
      <w:marBottom w:val="0"/>
      <w:divBdr>
        <w:top w:val="none" w:sz="0" w:space="0" w:color="auto"/>
        <w:left w:val="none" w:sz="0" w:space="0" w:color="auto"/>
        <w:bottom w:val="none" w:sz="0" w:space="0" w:color="auto"/>
        <w:right w:val="none" w:sz="0" w:space="0" w:color="auto"/>
      </w:divBdr>
    </w:div>
    <w:div w:id="1518497782">
      <w:bodyDiv w:val="1"/>
      <w:marLeft w:val="0"/>
      <w:marRight w:val="0"/>
      <w:marTop w:val="0"/>
      <w:marBottom w:val="0"/>
      <w:divBdr>
        <w:top w:val="none" w:sz="0" w:space="0" w:color="auto"/>
        <w:left w:val="none" w:sz="0" w:space="0" w:color="auto"/>
        <w:bottom w:val="none" w:sz="0" w:space="0" w:color="auto"/>
        <w:right w:val="none" w:sz="0" w:space="0" w:color="auto"/>
      </w:divBdr>
    </w:div>
    <w:div w:id="1519388024">
      <w:bodyDiv w:val="1"/>
      <w:marLeft w:val="0"/>
      <w:marRight w:val="0"/>
      <w:marTop w:val="0"/>
      <w:marBottom w:val="0"/>
      <w:divBdr>
        <w:top w:val="none" w:sz="0" w:space="0" w:color="auto"/>
        <w:left w:val="none" w:sz="0" w:space="0" w:color="auto"/>
        <w:bottom w:val="none" w:sz="0" w:space="0" w:color="auto"/>
        <w:right w:val="none" w:sz="0" w:space="0" w:color="auto"/>
      </w:divBdr>
    </w:div>
    <w:div w:id="1520511658">
      <w:bodyDiv w:val="1"/>
      <w:marLeft w:val="0"/>
      <w:marRight w:val="0"/>
      <w:marTop w:val="0"/>
      <w:marBottom w:val="0"/>
      <w:divBdr>
        <w:top w:val="none" w:sz="0" w:space="0" w:color="auto"/>
        <w:left w:val="none" w:sz="0" w:space="0" w:color="auto"/>
        <w:bottom w:val="none" w:sz="0" w:space="0" w:color="auto"/>
        <w:right w:val="none" w:sz="0" w:space="0" w:color="auto"/>
      </w:divBdr>
    </w:div>
    <w:div w:id="1530100553">
      <w:bodyDiv w:val="1"/>
      <w:marLeft w:val="0"/>
      <w:marRight w:val="0"/>
      <w:marTop w:val="0"/>
      <w:marBottom w:val="0"/>
      <w:divBdr>
        <w:top w:val="none" w:sz="0" w:space="0" w:color="auto"/>
        <w:left w:val="none" w:sz="0" w:space="0" w:color="auto"/>
        <w:bottom w:val="none" w:sz="0" w:space="0" w:color="auto"/>
        <w:right w:val="none" w:sz="0" w:space="0" w:color="auto"/>
      </w:divBdr>
    </w:div>
    <w:div w:id="1533610186">
      <w:bodyDiv w:val="1"/>
      <w:marLeft w:val="0"/>
      <w:marRight w:val="0"/>
      <w:marTop w:val="0"/>
      <w:marBottom w:val="0"/>
      <w:divBdr>
        <w:top w:val="none" w:sz="0" w:space="0" w:color="auto"/>
        <w:left w:val="none" w:sz="0" w:space="0" w:color="auto"/>
        <w:bottom w:val="none" w:sz="0" w:space="0" w:color="auto"/>
        <w:right w:val="none" w:sz="0" w:space="0" w:color="auto"/>
      </w:divBdr>
    </w:div>
    <w:div w:id="1536507179">
      <w:bodyDiv w:val="1"/>
      <w:marLeft w:val="0"/>
      <w:marRight w:val="0"/>
      <w:marTop w:val="0"/>
      <w:marBottom w:val="0"/>
      <w:divBdr>
        <w:top w:val="none" w:sz="0" w:space="0" w:color="auto"/>
        <w:left w:val="none" w:sz="0" w:space="0" w:color="auto"/>
        <w:bottom w:val="none" w:sz="0" w:space="0" w:color="auto"/>
        <w:right w:val="none" w:sz="0" w:space="0" w:color="auto"/>
      </w:divBdr>
    </w:div>
    <w:div w:id="1551574475">
      <w:bodyDiv w:val="1"/>
      <w:marLeft w:val="0"/>
      <w:marRight w:val="0"/>
      <w:marTop w:val="0"/>
      <w:marBottom w:val="0"/>
      <w:divBdr>
        <w:top w:val="none" w:sz="0" w:space="0" w:color="auto"/>
        <w:left w:val="none" w:sz="0" w:space="0" w:color="auto"/>
        <w:bottom w:val="none" w:sz="0" w:space="0" w:color="auto"/>
        <w:right w:val="none" w:sz="0" w:space="0" w:color="auto"/>
      </w:divBdr>
    </w:div>
    <w:div w:id="1553418967">
      <w:bodyDiv w:val="1"/>
      <w:marLeft w:val="0"/>
      <w:marRight w:val="0"/>
      <w:marTop w:val="0"/>
      <w:marBottom w:val="0"/>
      <w:divBdr>
        <w:top w:val="none" w:sz="0" w:space="0" w:color="auto"/>
        <w:left w:val="none" w:sz="0" w:space="0" w:color="auto"/>
        <w:bottom w:val="none" w:sz="0" w:space="0" w:color="auto"/>
        <w:right w:val="none" w:sz="0" w:space="0" w:color="auto"/>
      </w:divBdr>
    </w:div>
    <w:div w:id="1557544780">
      <w:bodyDiv w:val="1"/>
      <w:marLeft w:val="0"/>
      <w:marRight w:val="0"/>
      <w:marTop w:val="0"/>
      <w:marBottom w:val="0"/>
      <w:divBdr>
        <w:top w:val="none" w:sz="0" w:space="0" w:color="auto"/>
        <w:left w:val="none" w:sz="0" w:space="0" w:color="auto"/>
        <w:bottom w:val="none" w:sz="0" w:space="0" w:color="auto"/>
        <w:right w:val="none" w:sz="0" w:space="0" w:color="auto"/>
      </w:divBdr>
    </w:div>
    <w:div w:id="1557886347">
      <w:bodyDiv w:val="1"/>
      <w:marLeft w:val="0"/>
      <w:marRight w:val="0"/>
      <w:marTop w:val="0"/>
      <w:marBottom w:val="0"/>
      <w:divBdr>
        <w:top w:val="none" w:sz="0" w:space="0" w:color="auto"/>
        <w:left w:val="none" w:sz="0" w:space="0" w:color="auto"/>
        <w:bottom w:val="none" w:sz="0" w:space="0" w:color="auto"/>
        <w:right w:val="none" w:sz="0" w:space="0" w:color="auto"/>
      </w:divBdr>
    </w:div>
    <w:div w:id="1558511842">
      <w:bodyDiv w:val="1"/>
      <w:marLeft w:val="0"/>
      <w:marRight w:val="0"/>
      <w:marTop w:val="0"/>
      <w:marBottom w:val="0"/>
      <w:divBdr>
        <w:top w:val="none" w:sz="0" w:space="0" w:color="auto"/>
        <w:left w:val="none" w:sz="0" w:space="0" w:color="auto"/>
        <w:bottom w:val="none" w:sz="0" w:space="0" w:color="auto"/>
        <w:right w:val="none" w:sz="0" w:space="0" w:color="auto"/>
      </w:divBdr>
    </w:div>
    <w:div w:id="1571453721">
      <w:bodyDiv w:val="1"/>
      <w:marLeft w:val="0"/>
      <w:marRight w:val="0"/>
      <w:marTop w:val="0"/>
      <w:marBottom w:val="0"/>
      <w:divBdr>
        <w:top w:val="none" w:sz="0" w:space="0" w:color="auto"/>
        <w:left w:val="none" w:sz="0" w:space="0" w:color="auto"/>
        <w:bottom w:val="none" w:sz="0" w:space="0" w:color="auto"/>
        <w:right w:val="none" w:sz="0" w:space="0" w:color="auto"/>
      </w:divBdr>
    </w:div>
    <w:div w:id="1573194150">
      <w:bodyDiv w:val="1"/>
      <w:marLeft w:val="0"/>
      <w:marRight w:val="0"/>
      <w:marTop w:val="0"/>
      <w:marBottom w:val="0"/>
      <w:divBdr>
        <w:top w:val="none" w:sz="0" w:space="0" w:color="auto"/>
        <w:left w:val="none" w:sz="0" w:space="0" w:color="auto"/>
        <w:bottom w:val="none" w:sz="0" w:space="0" w:color="auto"/>
        <w:right w:val="none" w:sz="0" w:space="0" w:color="auto"/>
      </w:divBdr>
    </w:div>
    <w:div w:id="1581790526">
      <w:bodyDiv w:val="1"/>
      <w:marLeft w:val="0"/>
      <w:marRight w:val="0"/>
      <w:marTop w:val="0"/>
      <w:marBottom w:val="0"/>
      <w:divBdr>
        <w:top w:val="none" w:sz="0" w:space="0" w:color="auto"/>
        <w:left w:val="none" w:sz="0" w:space="0" w:color="auto"/>
        <w:bottom w:val="none" w:sz="0" w:space="0" w:color="auto"/>
        <w:right w:val="none" w:sz="0" w:space="0" w:color="auto"/>
      </w:divBdr>
    </w:div>
    <w:div w:id="1586187488">
      <w:bodyDiv w:val="1"/>
      <w:marLeft w:val="0"/>
      <w:marRight w:val="0"/>
      <w:marTop w:val="0"/>
      <w:marBottom w:val="0"/>
      <w:divBdr>
        <w:top w:val="none" w:sz="0" w:space="0" w:color="auto"/>
        <w:left w:val="none" w:sz="0" w:space="0" w:color="auto"/>
        <w:bottom w:val="none" w:sz="0" w:space="0" w:color="auto"/>
        <w:right w:val="none" w:sz="0" w:space="0" w:color="auto"/>
      </w:divBdr>
    </w:div>
    <w:div w:id="1600525815">
      <w:bodyDiv w:val="1"/>
      <w:marLeft w:val="0"/>
      <w:marRight w:val="0"/>
      <w:marTop w:val="0"/>
      <w:marBottom w:val="0"/>
      <w:divBdr>
        <w:top w:val="none" w:sz="0" w:space="0" w:color="auto"/>
        <w:left w:val="none" w:sz="0" w:space="0" w:color="auto"/>
        <w:bottom w:val="none" w:sz="0" w:space="0" w:color="auto"/>
        <w:right w:val="none" w:sz="0" w:space="0" w:color="auto"/>
      </w:divBdr>
    </w:div>
    <w:div w:id="1614945393">
      <w:bodyDiv w:val="1"/>
      <w:marLeft w:val="0"/>
      <w:marRight w:val="0"/>
      <w:marTop w:val="0"/>
      <w:marBottom w:val="0"/>
      <w:divBdr>
        <w:top w:val="none" w:sz="0" w:space="0" w:color="auto"/>
        <w:left w:val="none" w:sz="0" w:space="0" w:color="auto"/>
        <w:bottom w:val="none" w:sz="0" w:space="0" w:color="auto"/>
        <w:right w:val="none" w:sz="0" w:space="0" w:color="auto"/>
      </w:divBdr>
    </w:div>
    <w:div w:id="1621766657">
      <w:bodyDiv w:val="1"/>
      <w:marLeft w:val="0"/>
      <w:marRight w:val="0"/>
      <w:marTop w:val="0"/>
      <w:marBottom w:val="0"/>
      <w:divBdr>
        <w:top w:val="none" w:sz="0" w:space="0" w:color="auto"/>
        <w:left w:val="none" w:sz="0" w:space="0" w:color="auto"/>
        <w:bottom w:val="none" w:sz="0" w:space="0" w:color="auto"/>
        <w:right w:val="none" w:sz="0" w:space="0" w:color="auto"/>
      </w:divBdr>
    </w:div>
    <w:div w:id="1624263841">
      <w:bodyDiv w:val="1"/>
      <w:marLeft w:val="0"/>
      <w:marRight w:val="0"/>
      <w:marTop w:val="0"/>
      <w:marBottom w:val="0"/>
      <w:divBdr>
        <w:top w:val="none" w:sz="0" w:space="0" w:color="auto"/>
        <w:left w:val="none" w:sz="0" w:space="0" w:color="auto"/>
        <w:bottom w:val="none" w:sz="0" w:space="0" w:color="auto"/>
        <w:right w:val="none" w:sz="0" w:space="0" w:color="auto"/>
      </w:divBdr>
    </w:div>
    <w:div w:id="1624997787">
      <w:bodyDiv w:val="1"/>
      <w:marLeft w:val="0"/>
      <w:marRight w:val="0"/>
      <w:marTop w:val="0"/>
      <w:marBottom w:val="0"/>
      <w:divBdr>
        <w:top w:val="none" w:sz="0" w:space="0" w:color="auto"/>
        <w:left w:val="none" w:sz="0" w:space="0" w:color="auto"/>
        <w:bottom w:val="none" w:sz="0" w:space="0" w:color="auto"/>
        <w:right w:val="none" w:sz="0" w:space="0" w:color="auto"/>
      </w:divBdr>
    </w:div>
    <w:div w:id="1658610069">
      <w:bodyDiv w:val="1"/>
      <w:marLeft w:val="0"/>
      <w:marRight w:val="0"/>
      <w:marTop w:val="0"/>
      <w:marBottom w:val="0"/>
      <w:divBdr>
        <w:top w:val="none" w:sz="0" w:space="0" w:color="auto"/>
        <w:left w:val="none" w:sz="0" w:space="0" w:color="auto"/>
        <w:bottom w:val="none" w:sz="0" w:space="0" w:color="auto"/>
        <w:right w:val="none" w:sz="0" w:space="0" w:color="auto"/>
      </w:divBdr>
    </w:div>
    <w:div w:id="1659921593">
      <w:bodyDiv w:val="1"/>
      <w:marLeft w:val="0"/>
      <w:marRight w:val="0"/>
      <w:marTop w:val="0"/>
      <w:marBottom w:val="0"/>
      <w:divBdr>
        <w:top w:val="none" w:sz="0" w:space="0" w:color="auto"/>
        <w:left w:val="none" w:sz="0" w:space="0" w:color="auto"/>
        <w:bottom w:val="none" w:sz="0" w:space="0" w:color="auto"/>
        <w:right w:val="none" w:sz="0" w:space="0" w:color="auto"/>
      </w:divBdr>
    </w:div>
    <w:div w:id="1662083312">
      <w:bodyDiv w:val="1"/>
      <w:marLeft w:val="0"/>
      <w:marRight w:val="0"/>
      <w:marTop w:val="0"/>
      <w:marBottom w:val="0"/>
      <w:divBdr>
        <w:top w:val="none" w:sz="0" w:space="0" w:color="auto"/>
        <w:left w:val="none" w:sz="0" w:space="0" w:color="auto"/>
        <w:bottom w:val="none" w:sz="0" w:space="0" w:color="auto"/>
        <w:right w:val="none" w:sz="0" w:space="0" w:color="auto"/>
      </w:divBdr>
    </w:div>
    <w:div w:id="1672491221">
      <w:bodyDiv w:val="1"/>
      <w:marLeft w:val="0"/>
      <w:marRight w:val="0"/>
      <w:marTop w:val="0"/>
      <w:marBottom w:val="0"/>
      <w:divBdr>
        <w:top w:val="none" w:sz="0" w:space="0" w:color="auto"/>
        <w:left w:val="none" w:sz="0" w:space="0" w:color="auto"/>
        <w:bottom w:val="none" w:sz="0" w:space="0" w:color="auto"/>
        <w:right w:val="none" w:sz="0" w:space="0" w:color="auto"/>
      </w:divBdr>
    </w:div>
    <w:div w:id="1674994301">
      <w:bodyDiv w:val="1"/>
      <w:marLeft w:val="0"/>
      <w:marRight w:val="0"/>
      <w:marTop w:val="0"/>
      <w:marBottom w:val="0"/>
      <w:divBdr>
        <w:top w:val="none" w:sz="0" w:space="0" w:color="auto"/>
        <w:left w:val="none" w:sz="0" w:space="0" w:color="auto"/>
        <w:bottom w:val="none" w:sz="0" w:space="0" w:color="auto"/>
        <w:right w:val="none" w:sz="0" w:space="0" w:color="auto"/>
      </w:divBdr>
    </w:div>
    <w:div w:id="1675301841">
      <w:bodyDiv w:val="1"/>
      <w:marLeft w:val="0"/>
      <w:marRight w:val="0"/>
      <w:marTop w:val="0"/>
      <w:marBottom w:val="0"/>
      <w:divBdr>
        <w:top w:val="none" w:sz="0" w:space="0" w:color="auto"/>
        <w:left w:val="none" w:sz="0" w:space="0" w:color="auto"/>
        <w:bottom w:val="none" w:sz="0" w:space="0" w:color="auto"/>
        <w:right w:val="none" w:sz="0" w:space="0" w:color="auto"/>
      </w:divBdr>
    </w:div>
    <w:div w:id="1683700326">
      <w:bodyDiv w:val="1"/>
      <w:marLeft w:val="0"/>
      <w:marRight w:val="0"/>
      <w:marTop w:val="0"/>
      <w:marBottom w:val="0"/>
      <w:divBdr>
        <w:top w:val="none" w:sz="0" w:space="0" w:color="auto"/>
        <w:left w:val="none" w:sz="0" w:space="0" w:color="auto"/>
        <w:bottom w:val="none" w:sz="0" w:space="0" w:color="auto"/>
        <w:right w:val="none" w:sz="0" w:space="0" w:color="auto"/>
      </w:divBdr>
    </w:div>
    <w:div w:id="1712918814">
      <w:bodyDiv w:val="1"/>
      <w:marLeft w:val="0"/>
      <w:marRight w:val="0"/>
      <w:marTop w:val="0"/>
      <w:marBottom w:val="0"/>
      <w:divBdr>
        <w:top w:val="none" w:sz="0" w:space="0" w:color="auto"/>
        <w:left w:val="none" w:sz="0" w:space="0" w:color="auto"/>
        <w:bottom w:val="none" w:sz="0" w:space="0" w:color="auto"/>
        <w:right w:val="none" w:sz="0" w:space="0" w:color="auto"/>
      </w:divBdr>
    </w:div>
    <w:div w:id="1727333142">
      <w:bodyDiv w:val="1"/>
      <w:marLeft w:val="0"/>
      <w:marRight w:val="0"/>
      <w:marTop w:val="0"/>
      <w:marBottom w:val="0"/>
      <w:divBdr>
        <w:top w:val="none" w:sz="0" w:space="0" w:color="auto"/>
        <w:left w:val="none" w:sz="0" w:space="0" w:color="auto"/>
        <w:bottom w:val="none" w:sz="0" w:space="0" w:color="auto"/>
        <w:right w:val="none" w:sz="0" w:space="0" w:color="auto"/>
      </w:divBdr>
    </w:div>
    <w:div w:id="1729719929">
      <w:bodyDiv w:val="1"/>
      <w:marLeft w:val="0"/>
      <w:marRight w:val="0"/>
      <w:marTop w:val="0"/>
      <w:marBottom w:val="0"/>
      <w:divBdr>
        <w:top w:val="none" w:sz="0" w:space="0" w:color="auto"/>
        <w:left w:val="none" w:sz="0" w:space="0" w:color="auto"/>
        <w:bottom w:val="none" w:sz="0" w:space="0" w:color="auto"/>
        <w:right w:val="none" w:sz="0" w:space="0" w:color="auto"/>
      </w:divBdr>
    </w:div>
    <w:div w:id="1737894919">
      <w:bodyDiv w:val="1"/>
      <w:marLeft w:val="0"/>
      <w:marRight w:val="0"/>
      <w:marTop w:val="0"/>
      <w:marBottom w:val="0"/>
      <w:divBdr>
        <w:top w:val="none" w:sz="0" w:space="0" w:color="auto"/>
        <w:left w:val="none" w:sz="0" w:space="0" w:color="auto"/>
        <w:bottom w:val="none" w:sz="0" w:space="0" w:color="auto"/>
        <w:right w:val="none" w:sz="0" w:space="0" w:color="auto"/>
      </w:divBdr>
    </w:div>
    <w:div w:id="1766998848">
      <w:bodyDiv w:val="1"/>
      <w:marLeft w:val="0"/>
      <w:marRight w:val="0"/>
      <w:marTop w:val="0"/>
      <w:marBottom w:val="0"/>
      <w:divBdr>
        <w:top w:val="none" w:sz="0" w:space="0" w:color="auto"/>
        <w:left w:val="none" w:sz="0" w:space="0" w:color="auto"/>
        <w:bottom w:val="none" w:sz="0" w:space="0" w:color="auto"/>
        <w:right w:val="none" w:sz="0" w:space="0" w:color="auto"/>
      </w:divBdr>
    </w:div>
    <w:div w:id="1774863668">
      <w:bodyDiv w:val="1"/>
      <w:marLeft w:val="0"/>
      <w:marRight w:val="0"/>
      <w:marTop w:val="0"/>
      <w:marBottom w:val="0"/>
      <w:divBdr>
        <w:top w:val="none" w:sz="0" w:space="0" w:color="auto"/>
        <w:left w:val="none" w:sz="0" w:space="0" w:color="auto"/>
        <w:bottom w:val="none" w:sz="0" w:space="0" w:color="auto"/>
        <w:right w:val="none" w:sz="0" w:space="0" w:color="auto"/>
      </w:divBdr>
    </w:div>
    <w:div w:id="1789275393">
      <w:bodyDiv w:val="1"/>
      <w:marLeft w:val="0"/>
      <w:marRight w:val="0"/>
      <w:marTop w:val="0"/>
      <w:marBottom w:val="0"/>
      <w:divBdr>
        <w:top w:val="none" w:sz="0" w:space="0" w:color="auto"/>
        <w:left w:val="none" w:sz="0" w:space="0" w:color="auto"/>
        <w:bottom w:val="none" w:sz="0" w:space="0" w:color="auto"/>
        <w:right w:val="none" w:sz="0" w:space="0" w:color="auto"/>
      </w:divBdr>
    </w:div>
    <w:div w:id="1792940857">
      <w:bodyDiv w:val="1"/>
      <w:marLeft w:val="0"/>
      <w:marRight w:val="0"/>
      <w:marTop w:val="0"/>
      <w:marBottom w:val="0"/>
      <w:divBdr>
        <w:top w:val="none" w:sz="0" w:space="0" w:color="auto"/>
        <w:left w:val="none" w:sz="0" w:space="0" w:color="auto"/>
        <w:bottom w:val="none" w:sz="0" w:space="0" w:color="auto"/>
        <w:right w:val="none" w:sz="0" w:space="0" w:color="auto"/>
      </w:divBdr>
    </w:div>
    <w:div w:id="1796409765">
      <w:bodyDiv w:val="1"/>
      <w:marLeft w:val="0"/>
      <w:marRight w:val="0"/>
      <w:marTop w:val="0"/>
      <w:marBottom w:val="0"/>
      <w:divBdr>
        <w:top w:val="none" w:sz="0" w:space="0" w:color="auto"/>
        <w:left w:val="none" w:sz="0" w:space="0" w:color="auto"/>
        <w:bottom w:val="none" w:sz="0" w:space="0" w:color="auto"/>
        <w:right w:val="none" w:sz="0" w:space="0" w:color="auto"/>
      </w:divBdr>
    </w:div>
    <w:div w:id="1803189599">
      <w:bodyDiv w:val="1"/>
      <w:marLeft w:val="0"/>
      <w:marRight w:val="0"/>
      <w:marTop w:val="0"/>
      <w:marBottom w:val="0"/>
      <w:divBdr>
        <w:top w:val="none" w:sz="0" w:space="0" w:color="auto"/>
        <w:left w:val="none" w:sz="0" w:space="0" w:color="auto"/>
        <w:bottom w:val="none" w:sz="0" w:space="0" w:color="auto"/>
        <w:right w:val="none" w:sz="0" w:space="0" w:color="auto"/>
      </w:divBdr>
    </w:div>
    <w:div w:id="1826630629">
      <w:bodyDiv w:val="1"/>
      <w:marLeft w:val="0"/>
      <w:marRight w:val="0"/>
      <w:marTop w:val="0"/>
      <w:marBottom w:val="0"/>
      <w:divBdr>
        <w:top w:val="none" w:sz="0" w:space="0" w:color="auto"/>
        <w:left w:val="none" w:sz="0" w:space="0" w:color="auto"/>
        <w:bottom w:val="none" w:sz="0" w:space="0" w:color="auto"/>
        <w:right w:val="none" w:sz="0" w:space="0" w:color="auto"/>
      </w:divBdr>
    </w:div>
    <w:div w:id="1828473547">
      <w:bodyDiv w:val="1"/>
      <w:marLeft w:val="0"/>
      <w:marRight w:val="0"/>
      <w:marTop w:val="0"/>
      <w:marBottom w:val="0"/>
      <w:divBdr>
        <w:top w:val="none" w:sz="0" w:space="0" w:color="auto"/>
        <w:left w:val="none" w:sz="0" w:space="0" w:color="auto"/>
        <w:bottom w:val="none" w:sz="0" w:space="0" w:color="auto"/>
        <w:right w:val="none" w:sz="0" w:space="0" w:color="auto"/>
      </w:divBdr>
    </w:div>
    <w:div w:id="1836610119">
      <w:bodyDiv w:val="1"/>
      <w:marLeft w:val="0"/>
      <w:marRight w:val="0"/>
      <w:marTop w:val="0"/>
      <w:marBottom w:val="0"/>
      <w:divBdr>
        <w:top w:val="none" w:sz="0" w:space="0" w:color="auto"/>
        <w:left w:val="none" w:sz="0" w:space="0" w:color="auto"/>
        <w:bottom w:val="none" w:sz="0" w:space="0" w:color="auto"/>
        <w:right w:val="none" w:sz="0" w:space="0" w:color="auto"/>
      </w:divBdr>
    </w:div>
    <w:div w:id="1846020732">
      <w:bodyDiv w:val="1"/>
      <w:marLeft w:val="0"/>
      <w:marRight w:val="0"/>
      <w:marTop w:val="0"/>
      <w:marBottom w:val="0"/>
      <w:divBdr>
        <w:top w:val="none" w:sz="0" w:space="0" w:color="auto"/>
        <w:left w:val="none" w:sz="0" w:space="0" w:color="auto"/>
        <w:bottom w:val="none" w:sz="0" w:space="0" w:color="auto"/>
        <w:right w:val="none" w:sz="0" w:space="0" w:color="auto"/>
      </w:divBdr>
    </w:div>
    <w:div w:id="1847358650">
      <w:bodyDiv w:val="1"/>
      <w:marLeft w:val="0"/>
      <w:marRight w:val="0"/>
      <w:marTop w:val="0"/>
      <w:marBottom w:val="0"/>
      <w:divBdr>
        <w:top w:val="none" w:sz="0" w:space="0" w:color="auto"/>
        <w:left w:val="none" w:sz="0" w:space="0" w:color="auto"/>
        <w:bottom w:val="none" w:sz="0" w:space="0" w:color="auto"/>
        <w:right w:val="none" w:sz="0" w:space="0" w:color="auto"/>
      </w:divBdr>
    </w:div>
    <w:div w:id="1870488834">
      <w:bodyDiv w:val="1"/>
      <w:marLeft w:val="0"/>
      <w:marRight w:val="0"/>
      <w:marTop w:val="0"/>
      <w:marBottom w:val="0"/>
      <w:divBdr>
        <w:top w:val="none" w:sz="0" w:space="0" w:color="auto"/>
        <w:left w:val="none" w:sz="0" w:space="0" w:color="auto"/>
        <w:bottom w:val="none" w:sz="0" w:space="0" w:color="auto"/>
        <w:right w:val="none" w:sz="0" w:space="0" w:color="auto"/>
      </w:divBdr>
    </w:div>
    <w:div w:id="1871987119">
      <w:bodyDiv w:val="1"/>
      <w:marLeft w:val="0"/>
      <w:marRight w:val="0"/>
      <w:marTop w:val="0"/>
      <w:marBottom w:val="0"/>
      <w:divBdr>
        <w:top w:val="none" w:sz="0" w:space="0" w:color="auto"/>
        <w:left w:val="none" w:sz="0" w:space="0" w:color="auto"/>
        <w:bottom w:val="none" w:sz="0" w:space="0" w:color="auto"/>
        <w:right w:val="none" w:sz="0" w:space="0" w:color="auto"/>
      </w:divBdr>
    </w:div>
    <w:div w:id="1872955483">
      <w:bodyDiv w:val="1"/>
      <w:marLeft w:val="0"/>
      <w:marRight w:val="0"/>
      <w:marTop w:val="0"/>
      <w:marBottom w:val="0"/>
      <w:divBdr>
        <w:top w:val="none" w:sz="0" w:space="0" w:color="auto"/>
        <w:left w:val="none" w:sz="0" w:space="0" w:color="auto"/>
        <w:bottom w:val="none" w:sz="0" w:space="0" w:color="auto"/>
        <w:right w:val="none" w:sz="0" w:space="0" w:color="auto"/>
      </w:divBdr>
    </w:div>
    <w:div w:id="1880049202">
      <w:bodyDiv w:val="1"/>
      <w:marLeft w:val="0"/>
      <w:marRight w:val="0"/>
      <w:marTop w:val="0"/>
      <w:marBottom w:val="0"/>
      <w:divBdr>
        <w:top w:val="none" w:sz="0" w:space="0" w:color="auto"/>
        <w:left w:val="none" w:sz="0" w:space="0" w:color="auto"/>
        <w:bottom w:val="none" w:sz="0" w:space="0" w:color="auto"/>
        <w:right w:val="none" w:sz="0" w:space="0" w:color="auto"/>
      </w:divBdr>
    </w:div>
    <w:div w:id="1905866882">
      <w:bodyDiv w:val="1"/>
      <w:marLeft w:val="0"/>
      <w:marRight w:val="0"/>
      <w:marTop w:val="0"/>
      <w:marBottom w:val="0"/>
      <w:divBdr>
        <w:top w:val="none" w:sz="0" w:space="0" w:color="auto"/>
        <w:left w:val="none" w:sz="0" w:space="0" w:color="auto"/>
        <w:bottom w:val="none" w:sz="0" w:space="0" w:color="auto"/>
        <w:right w:val="none" w:sz="0" w:space="0" w:color="auto"/>
      </w:divBdr>
    </w:div>
    <w:div w:id="1919629936">
      <w:bodyDiv w:val="1"/>
      <w:marLeft w:val="0"/>
      <w:marRight w:val="0"/>
      <w:marTop w:val="0"/>
      <w:marBottom w:val="0"/>
      <w:divBdr>
        <w:top w:val="none" w:sz="0" w:space="0" w:color="auto"/>
        <w:left w:val="none" w:sz="0" w:space="0" w:color="auto"/>
        <w:bottom w:val="none" w:sz="0" w:space="0" w:color="auto"/>
        <w:right w:val="none" w:sz="0" w:space="0" w:color="auto"/>
      </w:divBdr>
    </w:div>
    <w:div w:id="1924294439">
      <w:bodyDiv w:val="1"/>
      <w:marLeft w:val="0"/>
      <w:marRight w:val="0"/>
      <w:marTop w:val="0"/>
      <w:marBottom w:val="0"/>
      <w:divBdr>
        <w:top w:val="none" w:sz="0" w:space="0" w:color="auto"/>
        <w:left w:val="none" w:sz="0" w:space="0" w:color="auto"/>
        <w:bottom w:val="none" w:sz="0" w:space="0" w:color="auto"/>
        <w:right w:val="none" w:sz="0" w:space="0" w:color="auto"/>
      </w:divBdr>
    </w:div>
    <w:div w:id="1925064468">
      <w:bodyDiv w:val="1"/>
      <w:marLeft w:val="0"/>
      <w:marRight w:val="0"/>
      <w:marTop w:val="0"/>
      <w:marBottom w:val="0"/>
      <w:divBdr>
        <w:top w:val="none" w:sz="0" w:space="0" w:color="auto"/>
        <w:left w:val="none" w:sz="0" w:space="0" w:color="auto"/>
        <w:bottom w:val="none" w:sz="0" w:space="0" w:color="auto"/>
        <w:right w:val="none" w:sz="0" w:space="0" w:color="auto"/>
      </w:divBdr>
    </w:div>
    <w:div w:id="1926648011">
      <w:bodyDiv w:val="1"/>
      <w:marLeft w:val="0"/>
      <w:marRight w:val="0"/>
      <w:marTop w:val="0"/>
      <w:marBottom w:val="0"/>
      <w:divBdr>
        <w:top w:val="none" w:sz="0" w:space="0" w:color="auto"/>
        <w:left w:val="none" w:sz="0" w:space="0" w:color="auto"/>
        <w:bottom w:val="none" w:sz="0" w:space="0" w:color="auto"/>
        <w:right w:val="none" w:sz="0" w:space="0" w:color="auto"/>
      </w:divBdr>
    </w:div>
    <w:div w:id="1926649003">
      <w:bodyDiv w:val="1"/>
      <w:marLeft w:val="0"/>
      <w:marRight w:val="0"/>
      <w:marTop w:val="0"/>
      <w:marBottom w:val="0"/>
      <w:divBdr>
        <w:top w:val="none" w:sz="0" w:space="0" w:color="auto"/>
        <w:left w:val="none" w:sz="0" w:space="0" w:color="auto"/>
        <w:bottom w:val="none" w:sz="0" w:space="0" w:color="auto"/>
        <w:right w:val="none" w:sz="0" w:space="0" w:color="auto"/>
      </w:divBdr>
    </w:div>
    <w:div w:id="1944265828">
      <w:bodyDiv w:val="1"/>
      <w:marLeft w:val="0"/>
      <w:marRight w:val="0"/>
      <w:marTop w:val="0"/>
      <w:marBottom w:val="0"/>
      <w:divBdr>
        <w:top w:val="none" w:sz="0" w:space="0" w:color="auto"/>
        <w:left w:val="none" w:sz="0" w:space="0" w:color="auto"/>
        <w:bottom w:val="none" w:sz="0" w:space="0" w:color="auto"/>
        <w:right w:val="none" w:sz="0" w:space="0" w:color="auto"/>
      </w:divBdr>
    </w:div>
    <w:div w:id="1945528036">
      <w:bodyDiv w:val="1"/>
      <w:marLeft w:val="0"/>
      <w:marRight w:val="0"/>
      <w:marTop w:val="0"/>
      <w:marBottom w:val="0"/>
      <w:divBdr>
        <w:top w:val="none" w:sz="0" w:space="0" w:color="auto"/>
        <w:left w:val="none" w:sz="0" w:space="0" w:color="auto"/>
        <w:bottom w:val="none" w:sz="0" w:space="0" w:color="auto"/>
        <w:right w:val="none" w:sz="0" w:space="0" w:color="auto"/>
      </w:divBdr>
    </w:div>
    <w:div w:id="1946771257">
      <w:bodyDiv w:val="1"/>
      <w:marLeft w:val="0"/>
      <w:marRight w:val="0"/>
      <w:marTop w:val="0"/>
      <w:marBottom w:val="0"/>
      <w:divBdr>
        <w:top w:val="none" w:sz="0" w:space="0" w:color="auto"/>
        <w:left w:val="none" w:sz="0" w:space="0" w:color="auto"/>
        <w:bottom w:val="none" w:sz="0" w:space="0" w:color="auto"/>
        <w:right w:val="none" w:sz="0" w:space="0" w:color="auto"/>
      </w:divBdr>
    </w:div>
    <w:div w:id="1955285068">
      <w:bodyDiv w:val="1"/>
      <w:marLeft w:val="0"/>
      <w:marRight w:val="0"/>
      <w:marTop w:val="0"/>
      <w:marBottom w:val="0"/>
      <w:divBdr>
        <w:top w:val="none" w:sz="0" w:space="0" w:color="auto"/>
        <w:left w:val="none" w:sz="0" w:space="0" w:color="auto"/>
        <w:bottom w:val="none" w:sz="0" w:space="0" w:color="auto"/>
        <w:right w:val="none" w:sz="0" w:space="0" w:color="auto"/>
      </w:divBdr>
    </w:div>
    <w:div w:id="1960799562">
      <w:bodyDiv w:val="1"/>
      <w:marLeft w:val="0"/>
      <w:marRight w:val="0"/>
      <w:marTop w:val="0"/>
      <w:marBottom w:val="0"/>
      <w:divBdr>
        <w:top w:val="none" w:sz="0" w:space="0" w:color="auto"/>
        <w:left w:val="none" w:sz="0" w:space="0" w:color="auto"/>
        <w:bottom w:val="none" w:sz="0" w:space="0" w:color="auto"/>
        <w:right w:val="none" w:sz="0" w:space="0" w:color="auto"/>
      </w:divBdr>
    </w:div>
    <w:div w:id="1963724090">
      <w:bodyDiv w:val="1"/>
      <w:marLeft w:val="0"/>
      <w:marRight w:val="0"/>
      <w:marTop w:val="0"/>
      <w:marBottom w:val="0"/>
      <w:divBdr>
        <w:top w:val="none" w:sz="0" w:space="0" w:color="auto"/>
        <w:left w:val="none" w:sz="0" w:space="0" w:color="auto"/>
        <w:bottom w:val="none" w:sz="0" w:space="0" w:color="auto"/>
        <w:right w:val="none" w:sz="0" w:space="0" w:color="auto"/>
      </w:divBdr>
    </w:div>
    <w:div w:id="1968049381">
      <w:bodyDiv w:val="1"/>
      <w:marLeft w:val="0"/>
      <w:marRight w:val="0"/>
      <w:marTop w:val="0"/>
      <w:marBottom w:val="0"/>
      <w:divBdr>
        <w:top w:val="none" w:sz="0" w:space="0" w:color="auto"/>
        <w:left w:val="none" w:sz="0" w:space="0" w:color="auto"/>
        <w:bottom w:val="none" w:sz="0" w:space="0" w:color="auto"/>
        <w:right w:val="none" w:sz="0" w:space="0" w:color="auto"/>
      </w:divBdr>
    </w:div>
    <w:div w:id="1974630473">
      <w:bodyDiv w:val="1"/>
      <w:marLeft w:val="0"/>
      <w:marRight w:val="0"/>
      <w:marTop w:val="0"/>
      <w:marBottom w:val="0"/>
      <w:divBdr>
        <w:top w:val="none" w:sz="0" w:space="0" w:color="auto"/>
        <w:left w:val="none" w:sz="0" w:space="0" w:color="auto"/>
        <w:bottom w:val="none" w:sz="0" w:space="0" w:color="auto"/>
        <w:right w:val="none" w:sz="0" w:space="0" w:color="auto"/>
      </w:divBdr>
    </w:div>
    <w:div w:id="1982729453">
      <w:bodyDiv w:val="1"/>
      <w:marLeft w:val="0"/>
      <w:marRight w:val="0"/>
      <w:marTop w:val="0"/>
      <w:marBottom w:val="0"/>
      <w:divBdr>
        <w:top w:val="none" w:sz="0" w:space="0" w:color="auto"/>
        <w:left w:val="none" w:sz="0" w:space="0" w:color="auto"/>
        <w:bottom w:val="none" w:sz="0" w:space="0" w:color="auto"/>
        <w:right w:val="none" w:sz="0" w:space="0" w:color="auto"/>
      </w:divBdr>
    </w:div>
    <w:div w:id="1990746049">
      <w:bodyDiv w:val="1"/>
      <w:marLeft w:val="0"/>
      <w:marRight w:val="0"/>
      <w:marTop w:val="0"/>
      <w:marBottom w:val="0"/>
      <w:divBdr>
        <w:top w:val="none" w:sz="0" w:space="0" w:color="auto"/>
        <w:left w:val="none" w:sz="0" w:space="0" w:color="auto"/>
        <w:bottom w:val="none" w:sz="0" w:space="0" w:color="auto"/>
        <w:right w:val="none" w:sz="0" w:space="0" w:color="auto"/>
      </w:divBdr>
    </w:div>
    <w:div w:id="1991514845">
      <w:bodyDiv w:val="1"/>
      <w:marLeft w:val="0"/>
      <w:marRight w:val="0"/>
      <w:marTop w:val="0"/>
      <w:marBottom w:val="0"/>
      <w:divBdr>
        <w:top w:val="none" w:sz="0" w:space="0" w:color="auto"/>
        <w:left w:val="none" w:sz="0" w:space="0" w:color="auto"/>
        <w:bottom w:val="none" w:sz="0" w:space="0" w:color="auto"/>
        <w:right w:val="none" w:sz="0" w:space="0" w:color="auto"/>
      </w:divBdr>
    </w:div>
    <w:div w:id="2009750683">
      <w:bodyDiv w:val="1"/>
      <w:marLeft w:val="0"/>
      <w:marRight w:val="0"/>
      <w:marTop w:val="0"/>
      <w:marBottom w:val="0"/>
      <w:divBdr>
        <w:top w:val="none" w:sz="0" w:space="0" w:color="auto"/>
        <w:left w:val="none" w:sz="0" w:space="0" w:color="auto"/>
        <w:bottom w:val="none" w:sz="0" w:space="0" w:color="auto"/>
        <w:right w:val="none" w:sz="0" w:space="0" w:color="auto"/>
      </w:divBdr>
    </w:div>
    <w:div w:id="2012372038">
      <w:bodyDiv w:val="1"/>
      <w:marLeft w:val="0"/>
      <w:marRight w:val="0"/>
      <w:marTop w:val="0"/>
      <w:marBottom w:val="0"/>
      <w:divBdr>
        <w:top w:val="none" w:sz="0" w:space="0" w:color="auto"/>
        <w:left w:val="none" w:sz="0" w:space="0" w:color="auto"/>
        <w:bottom w:val="none" w:sz="0" w:space="0" w:color="auto"/>
        <w:right w:val="none" w:sz="0" w:space="0" w:color="auto"/>
      </w:divBdr>
    </w:div>
    <w:div w:id="2017533616">
      <w:bodyDiv w:val="1"/>
      <w:marLeft w:val="0"/>
      <w:marRight w:val="0"/>
      <w:marTop w:val="0"/>
      <w:marBottom w:val="0"/>
      <w:divBdr>
        <w:top w:val="none" w:sz="0" w:space="0" w:color="auto"/>
        <w:left w:val="none" w:sz="0" w:space="0" w:color="auto"/>
        <w:bottom w:val="none" w:sz="0" w:space="0" w:color="auto"/>
        <w:right w:val="none" w:sz="0" w:space="0" w:color="auto"/>
      </w:divBdr>
    </w:div>
    <w:div w:id="2021423590">
      <w:bodyDiv w:val="1"/>
      <w:marLeft w:val="0"/>
      <w:marRight w:val="0"/>
      <w:marTop w:val="0"/>
      <w:marBottom w:val="0"/>
      <w:divBdr>
        <w:top w:val="none" w:sz="0" w:space="0" w:color="auto"/>
        <w:left w:val="none" w:sz="0" w:space="0" w:color="auto"/>
        <w:bottom w:val="none" w:sz="0" w:space="0" w:color="auto"/>
        <w:right w:val="none" w:sz="0" w:space="0" w:color="auto"/>
      </w:divBdr>
    </w:div>
    <w:div w:id="2022967957">
      <w:bodyDiv w:val="1"/>
      <w:marLeft w:val="0"/>
      <w:marRight w:val="0"/>
      <w:marTop w:val="0"/>
      <w:marBottom w:val="0"/>
      <w:divBdr>
        <w:top w:val="none" w:sz="0" w:space="0" w:color="auto"/>
        <w:left w:val="none" w:sz="0" w:space="0" w:color="auto"/>
        <w:bottom w:val="none" w:sz="0" w:space="0" w:color="auto"/>
        <w:right w:val="none" w:sz="0" w:space="0" w:color="auto"/>
      </w:divBdr>
    </w:div>
    <w:div w:id="2033217016">
      <w:bodyDiv w:val="1"/>
      <w:marLeft w:val="0"/>
      <w:marRight w:val="0"/>
      <w:marTop w:val="0"/>
      <w:marBottom w:val="0"/>
      <w:divBdr>
        <w:top w:val="none" w:sz="0" w:space="0" w:color="auto"/>
        <w:left w:val="none" w:sz="0" w:space="0" w:color="auto"/>
        <w:bottom w:val="none" w:sz="0" w:space="0" w:color="auto"/>
        <w:right w:val="none" w:sz="0" w:space="0" w:color="auto"/>
      </w:divBdr>
    </w:div>
    <w:div w:id="2034843741">
      <w:bodyDiv w:val="1"/>
      <w:marLeft w:val="0"/>
      <w:marRight w:val="0"/>
      <w:marTop w:val="0"/>
      <w:marBottom w:val="0"/>
      <w:divBdr>
        <w:top w:val="none" w:sz="0" w:space="0" w:color="auto"/>
        <w:left w:val="none" w:sz="0" w:space="0" w:color="auto"/>
        <w:bottom w:val="none" w:sz="0" w:space="0" w:color="auto"/>
        <w:right w:val="none" w:sz="0" w:space="0" w:color="auto"/>
      </w:divBdr>
    </w:div>
    <w:div w:id="2051569046">
      <w:bodyDiv w:val="1"/>
      <w:marLeft w:val="0"/>
      <w:marRight w:val="0"/>
      <w:marTop w:val="0"/>
      <w:marBottom w:val="0"/>
      <w:divBdr>
        <w:top w:val="none" w:sz="0" w:space="0" w:color="auto"/>
        <w:left w:val="none" w:sz="0" w:space="0" w:color="auto"/>
        <w:bottom w:val="none" w:sz="0" w:space="0" w:color="auto"/>
        <w:right w:val="none" w:sz="0" w:space="0" w:color="auto"/>
      </w:divBdr>
    </w:div>
    <w:div w:id="2063139046">
      <w:bodyDiv w:val="1"/>
      <w:marLeft w:val="0"/>
      <w:marRight w:val="0"/>
      <w:marTop w:val="0"/>
      <w:marBottom w:val="0"/>
      <w:divBdr>
        <w:top w:val="none" w:sz="0" w:space="0" w:color="auto"/>
        <w:left w:val="none" w:sz="0" w:space="0" w:color="auto"/>
        <w:bottom w:val="none" w:sz="0" w:space="0" w:color="auto"/>
        <w:right w:val="none" w:sz="0" w:space="0" w:color="auto"/>
      </w:divBdr>
    </w:div>
    <w:div w:id="2065327230">
      <w:bodyDiv w:val="1"/>
      <w:marLeft w:val="0"/>
      <w:marRight w:val="0"/>
      <w:marTop w:val="0"/>
      <w:marBottom w:val="0"/>
      <w:divBdr>
        <w:top w:val="none" w:sz="0" w:space="0" w:color="auto"/>
        <w:left w:val="none" w:sz="0" w:space="0" w:color="auto"/>
        <w:bottom w:val="none" w:sz="0" w:space="0" w:color="auto"/>
        <w:right w:val="none" w:sz="0" w:space="0" w:color="auto"/>
      </w:divBdr>
    </w:div>
    <w:div w:id="2079470947">
      <w:bodyDiv w:val="1"/>
      <w:marLeft w:val="0"/>
      <w:marRight w:val="0"/>
      <w:marTop w:val="0"/>
      <w:marBottom w:val="0"/>
      <w:divBdr>
        <w:top w:val="none" w:sz="0" w:space="0" w:color="auto"/>
        <w:left w:val="none" w:sz="0" w:space="0" w:color="auto"/>
        <w:bottom w:val="none" w:sz="0" w:space="0" w:color="auto"/>
        <w:right w:val="none" w:sz="0" w:space="0" w:color="auto"/>
      </w:divBdr>
    </w:div>
    <w:div w:id="2111385897">
      <w:bodyDiv w:val="1"/>
      <w:marLeft w:val="0"/>
      <w:marRight w:val="0"/>
      <w:marTop w:val="0"/>
      <w:marBottom w:val="0"/>
      <w:divBdr>
        <w:top w:val="none" w:sz="0" w:space="0" w:color="auto"/>
        <w:left w:val="none" w:sz="0" w:space="0" w:color="auto"/>
        <w:bottom w:val="none" w:sz="0" w:space="0" w:color="auto"/>
        <w:right w:val="none" w:sz="0" w:space="0" w:color="auto"/>
      </w:divBdr>
    </w:div>
    <w:div w:id="2124153407">
      <w:bodyDiv w:val="1"/>
      <w:marLeft w:val="0"/>
      <w:marRight w:val="0"/>
      <w:marTop w:val="0"/>
      <w:marBottom w:val="0"/>
      <w:divBdr>
        <w:top w:val="none" w:sz="0" w:space="0" w:color="auto"/>
        <w:left w:val="none" w:sz="0" w:space="0" w:color="auto"/>
        <w:bottom w:val="none" w:sz="0" w:space="0" w:color="auto"/>
        <w:right w:val="none" w:sz="0" w:space="0" w:color="auto"/>
      </w:divBdr>
    </w:div>
    <w:div w:id="2125728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reendealorb.co.uk/" TargetMode="External"/><Relationship Id="rId18" Type="http://schemas.openxmlformats.org/officeDocument/2006/relationships/hyperlink" Target="https://www.gov.uk/energy-companies-obligation-brokerage"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EnergyEfficiency.Stats@decc.gsi.gov.uk"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image" Target="media/image3.emf"/><Relationship Id="rId25" Type="http://schemas.openxmlformats.org/officeDocument/2006/relationships/header" Target="header2.xm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gov.uk/energy-companies-obligation-brokerage" TargetMode="External"/><Relationship Id="rId20" Type="http://schemas.openxmlformats.org/officeDocument/2006/relationships/hyperlink" Target="https://www.gov.uk/government/publications/domestic-green-deal-and-eco-statistics-methodology-not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nergy-companies-obligation-brokerag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etting-a-green-deal-information-for-householders-and-landlords" TargetMode="External"/><Relationship Id="rId23" Type="http://schemas.openxmlformats.org/officeDocument/2006/relationships/image" Target="media/image4.jpeg"/><Relationship Id="rId28" Type="http://schemas.openxmlformats.org/officeDocument/2006/relationships/header" Target="header3.xml"/><Relationship Id="rId10" Type="http://schemas.openxmlformats.org/officeDocument/2006/relationships/hyperlink" Target="https://www.gov.uk/government/policies/helping-households-to-cut-their-energy-bills/supporting-pages/energy-companies-obligation-eco" TargetMode="External"/><Relationship Id="rId19" Type="http://schemas.openxmlformats.org/officeDocument/2006/relationships/hyperlink" Target="https://gdcashback.decc.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reen-deal-energy-saving-measures" TargetMode="External"/><Relationship Id="rId14" Type="http://schemas.openxmlformats.org/officeDocument/2006/relationships/hyperlink" Target="http://www.greendealorb.co.uk/consumersearch" TargetMode="External"/><Relationship Id="rId22" Type="http://schemas.openxmlformats.org/officeDocument/2006/relationships/hyperlink" Target="https://www.gov.uk/government/organisations/department-of-energy-climate-change/about/statistics"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B4574-7C70-4FC1-A5FB-69287B25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2617</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17500</CharactersWithSpaces>
  <SharedDoc>false</SharedDoc>
  <HLinks>
    <vt:vector size="36" baseType="variant">
      <vt:variant>
        <vt:i4>5898308</vt:i4>
      </vt:variant>
      <vt:variant>
        <vt:i4>15</vt:i4>
      </vt:variant>
      <vt:variant>
        <vt:i4>0</vt:i4>
      </vt:variant>
      <vt:variant>
        <vt:i4>5</vt:i4>
      </vt:variant>
      <vt:variant>
        <vt:lpwstr>http://www.decc.gov.uk/en/content/cms/statistics/statistics.aspx</vt:lpwstr>
      </vt:variant>
      <vt:variant>
        <vt:lpwstr/>
      </vt:variant>
      <vt:variant>
        <vt:i4>6160436</vt:i4>
      </vt:variant>
      <vt:variant>
        <vt:i4>12</vt:i4>
      </vt:variant>
      <vt:variant>
        <vt:i4>0</vt:i4>
      </vt:variant>
      <vt:variant>
        <vt:i4>5</vt:i4>
      </vt:variant>
      <vt:variant>
        <vt:lpwstr>Stephen.Oxley@decc.gsi.gov.uk </vt:lpwstr>
      </vt:variant>
      <vt:variant>
        <vt:lpwstr/>
      </vt:variant>
      <vt:variant>
        <vt:i4>6225984</vt:i4>
      </vt:variant>
      <vt:variant>
        <vt:i4>9</vt:i4>
      </vt:variant>
      <vt:variant>
        <vt:i4>0</vt:i4>
      </vt:variant>
      <vt:variant>
        <vt:i4>5</vt:i4>
      </vt:variant>
      <vt:variant>
        <vt:lpwstr>http://www.decc.gov.uk/assets/decc/About us/decc-business-plan-2011-2015.pdf</vt:lpwstr>
      </vt:variant>
      <vt:variant>
        <vt:lpwstr/>
      </vt:variant>
      <vt:variant>
        <vt:i4>786506</vt:i4>
      </vt:variant>
      <vt:variant>
        <vt:i4>6</vt:i4>
      </vt:variant>
      <vt:variant>
        <vt:i4>0</vt:i4>
      </vt:variant>
      <vt:variant>
        <vt:i4>5</vt:i4>
      </vt:variant>
      <vt:variant>
        <vt:lpwstr>http://www.ofgem.gov.uk/Sustainability/Environment/EnergyEff/CU/Pages/CU.aspx</vt:lpwstr>
      </vt:variant>
      <vt:variant>
        <vt:lpwstr/>
      </vt:variant>
      <vt:variant>
        <vt:i4>7143483</vt:i4>
      </vt:variant>
      <vt:variant>
        <vt:i4>3</vt:i4>
      </vt:variant>
      <vt:variant>
        <vt:i4>0</vt:i4>
      </vt:variant>
      <vt:variant>
        <vt:i4>5</vt:i4>
      </vt:variant>
      <vt:variant>
        <vt:lpwstr>http://decc.gov.uk/publications/basket.aspx?filetype=4&amp;filepath=Statistics%2fenefficiency%2f947-methodology-note-home-insulation.pdf&amp;minwidth=true</vt:lpwstr>
      </vt:variant>
      <vt:variant>
        <vt:lpwstr/>
      </vt:variant>
      <vt:variant>
        <vt:i4>786506</vt:i4>
      </vt:variant>
      <vt:variant>
        <vt:i4>0</vt:i4>
      </vt:variant>
      <vt:variant>
        <vt:i4>0</vt:i4>
      </vt:variant>
      <vt:variant>
        <vt:i4>5</vt:i4>
      </vt:variant>
      <vt:variant>
        <vt:lpwstr>http://www.ofgem.gov.uk/Sustainability/Environment/EnergyEff/CU/Pages/CU.aspx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soxley</dc:creator>
  <cp:lastModifiedBy>pantonia</cp:lastModifiedBy>
  <cp:revision>5</cp:revision>
  <cp:lastPrinted>2013-05-14T08:48:00Z</cp:lastPrinted>
  <dcterms:created xsi:type="dcterms:W3CDTF">2013-05-13T15:33:00Z</dcterms:created>
  <dcterms:modified xsi:type="dcterms:W3CDTF">2013-05-14T08:50:00Z</dcterms:modified>
</cp:coreProperties>
</file>