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CA" w:rsidRPr="00AB4D4E" w:rsidRDefault="000B42CA" w:rsidP="00B938E5">
      <w:pPr>
        <w:rPr>
          <w:rFonts w:cs="Times New Roman"/>
          <w:b/>
          <w:bCs/>
          <w:sz w:val="22"/>
          <w:szCs w:val="22"/>
          <w:u w:val="single"/>
        </w:rPr>
      </w:pPr>
      <w:bookmarkStart w:id="0" w:name="_GoBack"/>
      <w:bookmarkEnd w:id="0"/>
      <w:r w:rsidRPr="00AB4D4E">
        <w:rPr>
          <w:b/>
          <w:bCs/>
          <w:sz w:val="22"/>
          <w:szCs w:val="22"/>
          <w:u w:val="single"/>
        </w:rPr>
        <w:t xml:space="preserve">Data included in the PHOF update publication – </w:t>
      </w:r>
      <w:smartTag w:uri="urn:schemas-microsoft-com:office:smarttags" w:element="date">
        <w:smartTagPr>
          <w:attr w:name="Month" w:val="5"/>
          <w:attr w:name="Day" w:val="8"/>
          <w:attr w:name="Year" w:val="2013"/>
        </w:smartTagPr>
        <w:r>
          <w:rPr>
            <w:b/>
            <w:bCs/>
            <w:sz w:val="22"/>
            <w:szCs w:val="22"/>
            <w:u w:val="single"/>
          </w:rPr>
          <w:t xml:space="preserve">Wednesday 8 May </w:t>
        </w:r>
        <w:r w:rsidRPr="00AB4D4E">
          <w:rPr>
            <w:b/>
            <w:bCs/>
            <w:sz w:val="22"/>
            <w:szCs w:val="22"/>
            <w:u w:val="single"/>
          </w:rPr>
          <w:t>2013</w:t>
        </w:r>
      </w:smartTag>
    </w:p>
    <w:p w:rsidR="000B42CA" w:rsidRPr="00AB4D4E" w:rsidRDefault="000B42CA" w:rsidP="00B938E5">
      <w:pPr>
        <w:rPr>
          <w:rFonts w:cs="Times New Roman"/>
          <w:sz w:val="22"/>
          <w:szCs w:val="22"/>
        </w:rPr>
      </w:pPr>
    </w:p>
    <w:p w:rsidR="000B42CA" w:rsidRPr="00AB4D4E" w:rsidRDefault="000B42CA" w:rsidP="00B938E5">
      <w:pPr>
        <w:rPr>
          <w:rStyle w:val="Hyperlink"/>
          <w:color w:val="000000"/>
          <w:sz w:val="22"/>
          <w:szCs w:val="22"/>
          <w:u w:val="none"/>
        </w:rPr>
      </w:pPr>
      <w:r w:rsidRPr="00AB4D4E">
        <w:rPr>
          <w:sz w:val="22"/>
          <w:szCs w:val="22"/>
        </w:rPr>
        <w:t xml:space="preserve">Data for the indicators listed below has been added to the PHOF data tool </w:t>
      </w:r>
      <w:r w:rsidRPr="00AB4D4E">
        <w:rPr>
          <w:rStyle w:val="Hyperlink"/>
          <w:color w:val="000000"/>
          <w:sz w:val="22"/>
          <w:szCs w:val="22"/>
          <w:u w:val="none"/>
        </w:rPr>
        <w:t xml:space="preserve">at </w:t>
      </w:r>
      <w:smartTag w:uri="urn:schemas-microsoft-com:office:smarttags" w:element="place">
        <w:smartTag w:uri="urn:schemas-microsoft-com:office:smarttags" w:element="country-region">
          <w:r w:rsidRPr="00AB4D4E">
            <w:rPr>
              <w:rStyle w:val="Hyperlink"/>
              <w:color w:val="000000"/>
              <w:sz w:val="22"/>
              <w:szCs w:val="22"/>
              <w:u w:val="none"/>
            </w:rPr>
            <w:t>England</w:t>
          </w:r>
        </w:smartTag>
      </w:smartTag>
      <w:r w:rsidRPr="00AB4D4E">
        <w:rPr>
          <w:rStyle w:val="Hyperlink"/>
          <w:color w:val="000000"/>
          <w:sz w:val="22"/>
          <w:szCs w:val="22"/>
          <w:u w:val="none"/>
        </w:rPr>
        <w:t xml:space="preserve"> and Upper Tier Local Authority level as part of the </w:t>
      </w:r>
      <w:r>
        <w:rPr>
          <w:rStyle w:val="Hyperlink"/>
          <w:color w:val="000000"/>
          <w:sz w:val="22"/>
          <w:szCs w:val="22"/>
          <w:u w:val="none"/>
        </w:rPr>
        <w:t>May</w:t>
      </w:r>
      <w:r w:rsidRPr="00AB4D4E">
        <w:rPr>
          <w:rStyle w:val="Hyperlink"/>
          <w:color w:val="000000"/>
          <w:sz w:val="22"/>
          <w:szCs w:val="22"/>
          <w:u w:val="none"/>
        </w:rPr>
        <w:t xml:space="preserve"> update - see</w:t>
      </w:r>
      <w:r w:rsidRPr="00AB4D4E">
        <w:rPr>
          <w:sz w:val="22"/>
          <w:szCs w:val="22"/>
        </w:rPr>
        <w:t xml:space="preserve"> </w:t>
      </w:r>
      <w:hyperlink r:id="rId5" w:history="1">
        <w:r w:rsidRPr="00AB4D4E">
          <w:rPr>
            <w:rStyle w:val="Hyperlink"/>
            <w:sz w:val="22"/>
            <w:szCs w:val="22"/>
          </w:rPr>
          <w:t>www.phoutcomes.info</w:t>
        </w:r>
      </w:hyperlink>
      <w:r w:rsidRPr="00AB4D4E">
        <w:rPr>
          <w:rStyle w:val="Hyperlink"/>
          <w:color w:val="000000"/>
          <w:sz w:val="22"/>
          <w:szCs w:val="22"/>
          <w:u w:val="none"/>
        </w:rPr>
        <w:t>.</w:t>
      </w:r>
    </w:p>
    <w:p w:rsidR="000B42CA" w:rsidRPr="00AB4D4E" w:rsidRDefault="000B42CA" w:rsidP="00B938E5">
      <w:pPr>
        <w:rPr>
          <w:rStyle w:val="Hyperlink"/>
          <w:rFonts w:cs="Times New Roman"/>
          <w:color w:val="000000"/>
          <w:sz w:val="22"/>
          <w:szCs w:val="22"/>
          <w:u w:val="none"/>
        </w:rPr>
      </w:pPr>
    </w:p>
    <w:p w:rsidR="000B42CA" w:rsidRPr="00AB4D4E" w:rsidRDefault="000B42CA" w:rsidP="00B938E5">
      <w:pPr>
        <w:rPr>
          <w:rFonts w:cs="Times New Roman"/>
          <w:i/>
          <w:iCs/>
          <w:color w:val="000000"/>
          <w:sz w:val="22"/>
          <w:szCs w:val="22"/>
        </w:rPr>
      </w:pPr>
      <w:r w:rsidRPr="00AB4D4E">
        <w:rPr>
          <w:rStyle w:val="Hyperlink"/>
          <w:i/>
          <w:iCs/>
          <w:color w:val="000000"/>
          <w:sz w:val="22"/>
          <w:szCs w:val="22"/>
          <w:u w:val="none"/>
        </w:rPr>
        <w:t>Note: Data in this release is a mixture of baseline data and updated data (where baselines have already been published but more recent data is available) - see details below.</w:t>
      </w:r>
    </w:p>
    <w:p w:rsidR="000B42CA" w:rsidRPr="00AB4D4E" w:rsidRDefault="000B42CA">
      <w:pPr>
        <w:rPr>
          <w:rFonts w:cs="Times New Roman"/>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4971"/>
        <w:gridCol w:w="1504"/>
        <w:gridCol w:w="2959"/>
      </w:tblGrid>
      <w:tr w:rsidR="000B42CA" w:rsidRPr="00AB4D4E">
        <w:trPr>
          <w:tblHeader/>
        </w:trPr>
        <w:tc>
          <w:tcPr>
            <w:tcW w:w="914" w:type="dxa"/>
          </w:tcPr>
          <w:p w:rsidR="000B42CA" w:rsidRPr="00AB4D4E" w:rsidRDefault="000B42CA" w:rsidP="00412798">
            <w:pPr>
              <w:rPr>
                <w:rFonts w:cs="Times New Roman"/>
                <w:b/>
                <w:bCs/>
              </w:rPr>
            </w:pPr>
          </w:p>
        </w:tc>
        <w:tc>
          <w:tcPr>
            <w:tcW w:w="4971" w:type="dxa"/>
          </w:tcPr>
          <w:p w:rsidR="000B42CA" w:rsidRPr="00AB4D4E" w:rsidRDefault="000B42CA" w:rsidP="00412798">
            <w:pPr>
              <w:rPr>
                <w:rFonts w:cs="Times New Roman"/>
                <w:b/>
                <w:bCs/>
              </w:rPr>
            </w:pPr>
            <w:r w:rsidRPr="00AB4D4E">
              <w:rPr>
                <w:b/>
                <w:bCs/>
                <w:sz w:val="22"/>
                <w:szCs w:val="22"/>
              </w:rPr>
              <w:t>Short title / sub-indicator descriptions</w:t>
            </w:r>
          </w:p>
        </w:tc>
        <w:tc>
          <w:tcPr>
            <w:tcW w:w="1504" w:type="dxa"/>
          </w:tcPr>
          <w:p w:rsidR="000B42CA" w:rsidRPr="00AB4D4E" w:rsidRDefault="000B42CA" w:rsidP="00412798">
            <w:pPr>
              <w:rPr>
                <w:rFonts w:cs="Times New Roman"/>
                <w:b/>
                <w:bCs/>
              </w:rPr>
            </w:pPr>
            <w:r w:rsidRPr="00AB4D4E">
              <w:rPr>
                <w:b/>
                <w:bCs/>
                <w:sz w:val="22"/>
                <w:szCs w:val="22"/>
              </w:rPr>
              <w:t>Time period</w:t>
            </w:r>
          </w:p>
        </w:tc>
        <w:tc>
          <w:tcPr>
            <w:tcW w:w="2959" w:type="dxa"/>
          </w:tcPr>
          <w:p w:rsidR="000B42CA" w:rsidRPr="00AB4D4E" w:rsidRDefault="000B42CA" w:rsidP="00412798">
            <w:pPr>
              <w:rPr>
                <w:rFonts w:cs="Times New Roman"/>
                <w:b/>
                <w:bCs/>
              </w:rPr>
            </w:pPr>
            <w:r w:rsidRPr="00AB4D4E">
              <w:rPr>
                <w:b/>
                <w:bCs/>
                <w:sz w:val="22"/>
                <w:szCs w:val="22"/>
              </w:rPr>
              <w:t>Baseline or updated data?</w:t>
            </w:r>
          </w:p>
        </w:tc>
      </w:tr>
      <w:tr w:rsidR="000B42CA" w:rsidRPr="00AB4D4E">
        <w:tc>
          <w:tcPr>
            <w:tcW w:w="914" w:type="dxa"/>
          </w:tcPr>
          <w:p w:rsidR="000B42CA" w:rsidRPr="00AB4D4E" w:rsidRDefault="000B42CA" w:rsidP="00412798">
            <w:pPr>
              <w:rPr>
                <w:rFonts w:cs="Times New Roman"/>
                <w:b/>
                <w:bCs/>
              </w:rPr>
            </w:pPr>
            <w:r w:rsidRPr="00AB4D4E">
              <w:rPr>
                <w:b/>
                <w:bCs/>
                <w:sz w:val="22"/>
                <w:szCs w:val="22"/>
              </w:rPr>
              <w:t>1.</w:t>
            </w:r>
            <w:r>
              <w:rPr>
                <w:b/>
                <w:bCs/>
                <w:sz w:val="22"/>
                <w:szCs w:val="22"/>
              </w:rPr>
              <w:t>0</w:t>
            </w:r>
            <w:r w:rsidRPr="00AB4D4E">
              <w:rPr>
                <w:b/>
                <w:bCs/>
                <w:sz w:val="22"/>
                <w:szCs w:val="22"/>
              </w:rPr>
              <w:t>6</w:t>
            </w:r>
          </w:p>
        </w:tc>
        <w:tc>
          <w:tcPr>
            <w:tcW w:w="4971" w:type="dxa"/>
          </w:tcPr>
          <w:p w:rsidR="000B42CA" w:rsidRPr="00AB4D4E" w:rsidRDefault="000B42CA" w:rsidP="00412798">
            <w:pPr>
              <w:rPr>
                <w:rFonts w:cs="Times New Roman"/>
                <w:b/>
                <w:bCs/>
              </w:rPr>
            </w:pPr>
            <w:r w:rsidRPr="00AB4D4E">
              <w:rPr>
                <w:b/>
                <w:bCs/>
                <w:sz w:val="22"/>
                <w:szCs w:val="22"/>
              </w:rPr>
              <w:t>Adults with a learning disability who live in stable and appropriate accommodation</w:t>
            </w:r>
          </w:p>
        </w:tc>
        <w:tc>
          <w:tcPr>
            <w:tcW w:w="1504" w:type="dxa"/>
          </w:tcPr>
          <w:p w:rsidR="000B42CA" w:rsidRPr="00AB4D4E" w:rsidRDefault="000B42CA" w:rsidP="00412798">
            <w:pPr>
              <w:rPr>
                <w:rFonts w:cs="Times New Roman"/>
                <w:b/>
                <w:bCs/>
              </w:rPr>
            </w:pPr>
          </w:p>
        </w:tc>
        <w:tc>
          <w:tcPr>
            <w:tcW w:w="2959" w:type="dxa"/>
          </w:tcPr>
          <w:p w:rsidR="000B42CA" w:rsidRPr="00AB4D4E" w:rsidRDefault="000B42CA" w:rsidP="00412798">
            <w:pPr>
              <w:rPr>
                <w:rFonts w:cs="Times New Roman"/>
                <w:b/>
                <w:bCs/>
              </w:rPr>
            </w:pPr>
          </w:p>
        </w:tc>
      </w:tr>
      <w:tr w:rsidR="000B42CA" w:rsidRPr="00AB4D4E">
        <w:tc>
          <w:tcPr>
            <w:tcW w:w="914" w:type="dxa"/>
          </w:tcPr>
          <w:p w:rsidR="000B42CA" w:rsidRPr="00FF0049" w:rsidRDefault="000B42CA" w:rsidP="00412798">
            <w:pPr>
              <w:rPr>
                <w:rFonts w:cs="Times New Roman"/>
              </w:rPr>
            </w:pPr>
            <w:r w:rsidRPr="00FF0049">
              <w:rPr>
                <w:sz w:val="22"/>
                <w:szCs w:val="22"/>
              </w:rPr>
              <w:t>1.06i</w:t>
            </w:r>
          </w:p>
        </w:tc>
        <w:tc>
          <w:tcPr>
            <w:tcW w:w="4971" w:type="dxa"/>
          </w:tcPr>
          <w:p w:rsidR="000B42CA" w:rsidRPr="00FF0049" w:rsidRDefault="000B42CA" w:rsidP="00412798">
            <w:pPr>
              <w:rPr>
                <w:rFonts w:cs="Times New Roman"/>
              </w:rPr>
            </w:pPr>
            <w:r w:rsidRPr="00FF0049">
              <w:rPr>
                <w:sz w:val="22"/>
                <w:szCs w:val="22"/>
              </w:rPr>
              <w:t>Percentage of all adults with a learning disability who are known to the council, who are recorded as living in their own home or with their family.</w:t>
            </w:r>
          </w:p>
        </w:tc>
        <w:tc>
          <w:tcPr>
            <w:tcW w:w="1504" w:type="dxa"/>
          </w:tcPr>
          <w:p w:rsidR="000B42CA" w:rsidRPr="00FF0049" w:rsidRDefault="000B42CA" w:rsidP="00412798">
            <w:pPr>
              <w:rPr>
                <w:rFonts w:cs="Times New Roman"/>
              </w:rPr>
            </w:pPr>
            <w:r w:rsidRPr="00FF0049">
              <w:rPr>
                <w:sz w:val="22"/>
                <w:szCs w:val="22"/>
              </w:rPr>
              <w:t>2011/12</w:t>
            </w:r>
          </w:p>
        </w:tc>
        <w:tc>
          <w:tcPr>
            <w:tcW w:w="2959" w:type="dxa"/>
          </w:tcPr>
          <w:p w:rsidR="000B42CA" w:rsidRPr="00FF0049" w:rsidRDefault="000B42CA" w:rsidP="00412798">
            <w:pPr>
              <w:rPr>
                <w:rFonts w:cs="Times New Roman"/>
              </w:rPr>
            </w:pPr>
            <w:r w:rsidRPr="00FF0049">
              <w:rPr>
                <w:sz w:val="22"/>
                <w:szCs w:val="22"/>
              </w:rPr>
              <w:t>Baseline period changed from original baseline period 2010/11</w:t>
            </w:r>
            <w:r w:rsidRPr="004F4D5C">
              <w:rPr>
                <w:b/>
                <w:bCs/>
              </w:rPr>
              <w:t>*</w:t>
            </w:r>
          </w:p>
        </w:tc>
      </w:tr>
      <w:tr w:rsidR="000B42CA" w:rsidRPr="00AB4D4E">
        <w:tc>
          <w:tcPr>
            <w:tcW w:w="914" w:type="dxa"/>
          </w:tcPr>
          <w:p w:rsidR="000B42CA" w:rsidRPr="00AB4D4E" w:rsidRDefault="000B42CA" w:rsidP="00412798">
            <w:pPr>
              <w:rPr>
                <w:rFonts w:cs="Times New Roman"/>
                <w:b/>
                <w:bCs/>
              </w:rPr>
            </w:pPr>
            <w:r w:rsidRPr="00AB4D4E">
              <w:rPr>
                <w:b/>
                <w:bCs/>
                <w:sz w:val="22"/>
                <w:szCs w:val="22"/>
              </w:rPr>
              <w:t>1.15</w:t>
            </w:r>
          </w:p>
        </w:tc>
        <w:tc>
          <w:tcPr>
            <w:tcW w:w="4971" w:type="dxa"/>
          </w:tcPr>
          <w:p w:rsidR="000B42CA" w:rsidRPr="00AB4D4E" w:rsidRDefault="000B42CA" w:rsidP="00412798">
            <w:pPr>
              <w:rPr>
                <w:rFonts w:cs="Times New Roman"/>
                <w:b/>
                <w:bCs/>
              </w:rPr>
            </w:pPr>
            <w:r w:rsidRPr="00AB4D4E">
              <w:rPr>
                <w:b/>
                <w:bCs/>
                <w:sz w:val="22"/>
                <w:szCs w:val="22"/>
              </w:rPr>
              <w:t>Statutory Homelessness</w:t>
            </w:r>
          </w:p>
        </w:tc>
        <w:tc>
          <w:tcPr>
            <w:tcW w:w="1504" w:type="dxa"/>
          </w:tcPr>
          <w:p w:rsidR="000B42CA" w:rsidRPr="00AB4D4E" w:rsidRDefault="000B42CA" w:rsidP="00412798">
            <w:pPr>
              <w:rPr>
                <w:rFonts w:cs="Times New Roman"/>
                <w:b/>
                <w:bCs/>
              </w:rPr>
            </w:pPr>
          </w:p>
        </w:tc>
        <w:tc>
          <w:tcPr>
            <w:tcW w:w="2959" w:type="dxa"/>
          </w:tcPr>
          <w:p w:rsidR="000B42CA" w:rsidRPr="00AB4D4E" w:rsidRDefault="000B42CA" w:rsidP="00412798">
            <w:pPr>
              <w:rPr>
                <w:rFonts w:cs="Times New Roman"/>
                <w:b/>
                <w:bCs/>
              </w:rPr>
            </w:pPr>
          </w:p>
        </w:tc>
      </w:tr>
      <w:tr w:rsidR="000B42CA" w:rsidRPr="00AB4D4E">
        <w:tc>
          <w:tcPr>
            <w:tcW w:w="914" w:type="dxa"/>
          </w:tcPr>
          <w:p w:rsidR="000B42CA" w:rsidRPr="00AB4D4E" w:rsidRDefault="000B42CA" w:rsidP="00412798">
            <w:pPr>
              <w:rPr>
                <w:rFonts w:cs="Times New Roman"/>
              </w:rPr>
            </w:pPr>
            <w:r w:rsidRPr="00AB4D4E">
              <w:rPr>
                <w:sz w:val="22"/>
                <w:szCs w:val="22"/>
              </w:rPr>
              <w:t>1.15i</w:t>
            </w:r>
          </w:p>
        </w:tc>
        <w:tc>
          <w:tcPr>
            <w:tcW w:w="4971" w:type="dxa"/>
          </w:tcPr>
          <w:p w:rsidR="000B42CA" w:rsidRPr="00AB4D4E" w:rsidRDefault="000B42CA" w:rsidP="00412798">
            <w:pPr>
              <w:rPr>
                <w:rFonts w:cs="Times New Roman"/>
              </w:rPr>
            </w:pPr>
            <w:r w:rsidRPr="00AB4D4E">
              <w:rPr>
                <w:sz w:val="22"/>
                <w:szCs w:val="22"/>
              </w:rPr>
              <w:t>Homelessness acceptances (per 1,000 households)</w:t>
            </w:r>
          </w:p>
        </w:tc>
        <w:tc>
          <w:tcPr>
            <w:tcW w:w="1504" w:type="dxa"/>
          </w:tcPr>
          <w:p w:rsidR="000B42CA" w:rsidRPr="00AB4D4E" w:rsidRDefault="000B42CA" w:rsidP="00412798">
            <w:pPr>
              <w:rPr>
                <w:rFonts w:cs="Times New Roman"/>
              </w:rPr>
            </w:pPr>
            <w:r w:rsidRPr="00AB4D4E">
              <w:rPr>
                <w:sz w:val="22"/>
                <w:szCs w:val="22"/>
              </w:rPr>
              <w:t>2011/12</w:t>
            </w:r>
          </w:p>
        </w:tc>
        <w:tc>
          <w:tcPr>
            <w:tcW w:w="2959" w:type="dxa"/>
          </w:tcPr>
          <w:p w:rsidR="000B42CA" w:rsidRPr="00AB4D4E" w:rsidRDefault="000B42CA" w:rsidP="00412798">
            <w:pPr>
              <w:rPr>
                <w:rFonts w:cs="Times New Roman"/>
              </w:rPr>
            </w:pPr>
            <w:r w:rsidRPr="00AB4D4E">
              <w:rPr>
                <w:sz w:val="22"/>
                <w:szCs w:val="22"/>
              </w:rPr>
              <w:t>Updated data (baseline period – 2010/11)</w:t>
            </w:r>
          </w:p>
        </w:tc>
      </w:tr>
      <w:tr w:rsidR="000B42CA" w:rsidRPr="00AB4D4E">
        <w:tc>
          <w:tcPr>
            <w:tcW w:w="914" w:type="dxa"/>
          </w:tcPr>
          <w:p w:rsidR="000B42CA" w:rsidRPr="00AB4D4E" w:rsidRDefault="000B42CA" w:rsidP="00412798">
            <w:pPr>
              <w:rPr>
                <w:rFonts w:cs="Times New Roman"/>
              </w:rPr>
            </w:pPr>
            <w:r w:rsidRPr="00AB4D4E">
              <w:rPr>
                <w:sz w:val="22"/>
                <w:szCs w:val="22"/>
              </w:rPr>
              <w:t>1.15ii</w:t>
            </w:r>
          </w:p>
        </w:tc>
        <w:tc>
          <w:tcPr>
            <w:tcW w:w="4971" w:type="dxa"/>
          </w:tcPr>
          <w:p w:rsidR="000B42CA" w:rsidRPr="00AB4D4E" w:rsidRDefault="000B42CA" w:rsidP="00412798">
            <w:pPr>
              <w:rPr>
                <w:rFonts w:cs="Times New Roman"/>
              </w:rPr>
            </w:pPr>
            <w:r w:rsidRPr="00AB4D4E">
              <w:rPr>
                <w:sz w:val="22"/>
                <w:szCs w:val="22"/>
              </w:rPr>
              <w:t>Households in temporary accommodation (per 1,000 households)</w:t>
            </w:r>
          </w:p>
        </w:tc>
        <w:tc>
          <w:tcPr>
            <w:tcW w:w="1504" w:type="dxa"/>
          </w:tcPr>
          <w:p w:rsidR="000B42CA" w:rsidRPr="00AB4D4E" w:rsidRDefault="000B42CA" w:rsidP="00412798">
            <w:pPr>
              <w:rPr>
                <w:rFonts w:cs="Times New Roman"/>
              </w:rPr>
            </w:pPr>
            <w:r w:rsidRPr="00AB4D4E">
              <w:rPr>
                <w:sz w:val="22"/>
                <w:szCs w:val="22"/>
              </w:rPr>
              <w:t>2011/12</w:t>
            </w:r>
          </w:p>
        </w:tc>
        <w:tc>
          <w:tcPr>
            <w:tcW w:w="2959" w:type="dxa"/>
          </w:tcPr>
          <w:p w:rsidR="000B42CA" w:rsidRPr="00AB4D4E" w:rsidRDefault="000B42CA" w:rsidP="00412798">
            <w:pPr>
              <w:rPr>
                <w:rFonts w:cs="Times New Roman"/>
              </w:rPr>
            </w:pPr>
            <w:r w:rsidRPr="00AB4D4E">
              <w:rPr>
                <w:sz w:val="22"/>
                <w:szCs w:val="22"/>
              </w:rPr>
              <w:t>Updated data (baseline period – 2010/11)</w:t>
            </w:r>
          </w:p>
        </w:tc>
      </w:tr>
      <w:tr w:rsidR="000B42CA" w:rsidRPr="00AB4D4E">
        <w:tc>
          <w:tcPr>
            <w:tcW w:w="914" w:type="dxa"/>
          </w:tcPr>
          <w:p w:rsidR="000B42CA" w:rsidRPr="00AB4D4E" w:rsidRDefault="000B42CA" w:rsidP="00412798">
            <w:pPr>
              <w:rPr>
                <w:rFonts w:cs="Times New Roman"/>
                <w:b/>
                <w:bCs/>
                <w:color w:val="000000"/>
              </w:rPr>
            </w:pPr>
            <w:r w:rsidRPr="00AB4D4E">
              <w:rPr>
                <w:b/>
                <w:bCs/>
                <w:color w:val="000000"/>
                <w:sz w:val="22"/>
                <w:szCs w:val="22"/>
              </w:rPr>
              <w:t>2.02</w:t>
            </w:r>
          </w:p>
        </w:tc>
        <w:tc>
          <w:tcPr>
            <w:tcW w:w="4971" w:type="dxa"/>
          </w:tcPr>
          <w:p w:rsidR="000B42CA" w:rsidRPr="00AB4D4E" w:rsidRDefault="000B42CA" w:rsidP="00412798">
            <w:pPr>
              <w:rPr>
                <w:rFonts w:cs="Times New Roman"/>
                <w:b/>
                <w:bCs/>
                <w:color w:val="000000"/>
              </w:rPr>
            </w:pPr>
            <w:r w:rsidRPr="00AB4D4E">
              <w:rPr>
                <w:b/>
                <w:bCs/>
                <w:color w:val="000000"/>
                <w:sz w:val="22"/>
                <w:szCs w:val="22"/>
              </w:rPr>
              <w:t>Breastfeeding</w:t>
            </w:r>
          </w:p>
        </w:tc>
        <w:tc>
          <w:tcPr>
            <w:tcW w:w="1504" w:type="dxa"/>
          </w:tcPr>
          <w:p w:rsidR="000B42CA" w:rsidRPr="00AB4D4E" w:rsidRDefault="000B42CA" w:rsidP="00412798">
            <w:pPr>
              <w:rPr>
                <w:rFonts w:cs="Times New Roman"/>
                <w:b/>
                <w:bCs/>
                <w:color w:val="000000"/>
              </w:rPr>
            </w:pPr>
          </w:p>
        </w:tc>
        <w:tc>
          <w:tcPr>
            <w:tcW w:w="2959" w:type="dxa"/>
          </w:tcPr>
          <w:p w:rsidR="000B42CA" w:rsidRPr="00AB4D4E" w:rsidRDefault="000B42CA" w:rsidP="00412798">
            <w:pPr>
              <w:rPr>
                <w:rFonts w:cs="Times New Roman"/>
                <w:b/>
                <w:bCs/>
                <w:color w:val="000000"/>
              </w:rPr>
            </w:pPr>
          </w:p>
        </w:tc>
      </w:tr>
      <w:tr w:rsidR="000B42CA" w:rsidRPr="00AB4D4E">
        <w:tc>
          <w:tcPr>
            <w:tcW w:w="914" w:type="dxa"/>
          </w:tcPr>
          <w:p w:rsidR="000B42CA" w:rsidRPr="00AB4D4E" w:rsidRDefault="000B42CA" w:rsidP="00412798">
            <w:pPr>
              <w:rPr>
                <w:rFonts w:cs="Times New Roman"/>
                <w:color w:val="000000"/>
              </w:rPr>
            </w:pPr>
            <w:r w:rsidRPr="00AB4D4E">
              <w:rPr>
                <w:color w:val="000000"/>
                <w:sz w:val="22"/>
                <w:szCs w:val="22"/>
              </w:rPr>
              <w:t>2.02i</w:t>
            </w:r>
          </w:p>
        </w:tc>
        <w:tc>
          <w:tcPr>
            <w:tcW w:w="4971" w:type="dxa"/>
          </w:tcPr>
          <w:p w:rsidR="000B42CA" w:rsidRPr="00AB4D4E" w:rsidRDefault="000B42CA" w:rsidP="00412798">
            <w:pPr>
              <w:rPr>
                <w:rFonts w:cs="Times New Roman"/>
                <w:color w:val="000000"/>
              </w:rPr>
            </w:pPr>
            <w:r w:rsidRPr="00AB4D4E">
              <w:rPr>
                <w:color w:val="000000"/>
                <w:sz w:val="22"/>
                <w:szCs w:val="22"/>
              </w:rPr>
              <w:t>Breastfeeding initiation</w:t>
            </w:r>
          </w:p>
        </w:tc>
        <w:tc>
          <w:tcPr>
            <w:tcW w:w="1504" w:type="dxa"/>
          </w:tcPr>
          <w:p w:rsidR="000B42CA" w:rsidRPr="00AB4D4E" w:rsidRDefault="000B42CA" w:rsidP="00412798">
            <w:pPr>
              <w:rPr>
                <w:rFonts w:cs="Times New Roman"/>
                <w:color w:val="000000"/>
              </w:rPr>
            </w:pPr>
            <w:r>
              <w:rPr>
                <w:color w:val="000000"/>
                <w:sz w:val="22"/>
                <w:szCs w:val="22"/>
              </w:rPr>
              <w:t>2011/12</w:t>
            </w:r>
          </w:p>
        </w:tc>
        <w:tc>
          <w:tcPr>
            <w:tcW w:w="2959" w:type="dxa"/>
          </w:tcPr>
          <w:p w:rsidR="000B42CA" w:rsidRPr="00AB4D4E" w:rsidRDefault="000B42CA" w:rsidP="00412798">
            <w:pPr>
              <w:rPr>
                <w:rFonts w:cs="Times New Roman"/>
                <w:color w:val="000000"/>
              </w:rPr>
            </w:pPr>
            <w:r w:rsidRPr="00AB4D4E">
              <w:rPr>
                <w:sz w:val="22"/>
                <w:szCs w:val="22"/>
              </w:rPr>
              <w:t>Updated data (baseline period – 2010/11)</w:t>
            </w:r>
          </w:p>
        </w:tc>
      </w:tr>
      <w:tr w:rsidR="000B42CA" w:rsidRPr="00AB4D4E">
        <w:tc>
          <w:tcPr>
            <w:tcW w:w="914" w:type="dxa"/>
          </w:tcPr>
          <w:p w:rsidR="000B42CA" w:rsidRPr="00AB4D4E" w:rsidRDefault="000B42CA" w:rsidP="00412798">
            <w:pPr>
              <w:rPr>
                <w:rFonts w:cs="Times New Roman"/>
              </w:rPr>
            </w:pPr>
            <w:r w:rsidRPr="00AB4D4E">
              <w:rPr>
                <w:sz w:val="22"/>
                <w:szCs w:val="22"/>
              </w:rPr>
              <w:t>2.02ii</w:t>
            </w:r>
          </w:p>
        </w:tc>
        <w:tc>
          <w:tcPr>
            <w:tcW w:w="4971" w:type="dxa"/>
          </w:tcPr>
          <w:p w:rsidR="000B42CA" w:rsidRPr="00AB4D4E" w:rsidRDefault="000B42CA" w:rsidP="00412798">
            <w:pPr>
              <w:rPr>
                <w:rFonts w:cs="Times New Roman"/>
              </w:rPr>
            </w:pPr>
            <w:r w:rsidRPr="00AB4D4E">
              <w:rPr>
                <w:sz w:val="22"/>
                <w:szCs w:val="22"/>
              </w:rPr>
              <w:t>Breastfeeding prevalence at 6-8 weeks after birth</w:t>
            </w:r>
          </w:p>
        </w:tc>
        <w:tc>
          <w:tcPr>
            <w:tcW w:w="1504" w:type="dxa"/>
          </w:tcPr>
          <w:p w:rsidR="000B42CA" w:rsidRPr="00AB4D4E" w:rsidRDefault="000B42CA" w:rsidP="00412798">
            <w:pPr>
              <w:rPr>
                <w:rFonts w:cs="Times New Roman"/>
              </w:rPr>
            </w:pPr>
            <w:r w:rsidRPr="00AB4D4E">
              <w:rPr>
                <w:sz w:val="22"/>
                <w:szCs w:val="22"/>
              </w:rPr>
              <w:t>2011/12</w:t>
            </w:r>
          </w:p>
        </w:tc>
        <w:tc>
          <w:tcPr>
            <w:tcW w:w="2959" w:type="dxa"/>
          </w:tcPr>
          <w:p w:rsidR="000B42CA" w:rsidRPr="00AB4D4E" w:rsidRDefault="000B42CA" w:rsidP="00412798">
            <w:pPr>
              <w:rPr>
                <w:rFonts w:cs="Times New Roman"/>
                <w:b/>
                <w:bCs/>
              </w:rPr>
            </w:pPr>
            <w:r w:rsidRPr="00AB4D4E">
              <w:rPr>
                <w:sz w:val="22"/>
                <w:szCs w:val="22"/>
              </w:rPr>
              <w:t>Updated data (baseline period – 2010/11)</w:t>
            </w:r>
          </w:p>
        </w:tc>
      </w:tr>
      <w:tr w:rsidR="000B42CA" w:rsidRPr="00AB4D4E">
        <w:tc>
          <w:tcPr>
            <w:tcW w:w="914" w:type="dxa"/>
          </w:tcPr>
          <w:p w:rsidR="000B42CA" w:rsidRPr="00CD2B42" w:rsidRDefault="000B42CA" w:rsidP="00412798">
            <w:pPr>
              <w:rPr>
                <w:rFonts w:cs="Times New Roman"/>
                <w:b/>
                <w:bCs/>
              </w:rPr>
            </w:pPr>
            <w:r w:rsidRPr="00CD2B42">
              <w:rPr>
                <w:b/>
                <w:bCs/>
                <w:sz w:val="22"/>
                <w:szCs w:val="22"/>
              </w:rPr>
              <w:t>2.04</w:t>
            </w:r>
          </w:p>
        </w:tc>
        <w:tc>
          <w:tcPr>
            <w:tcW w:w="4971" w:type="dxa"/>
          </w:tcPr>
          <w:p w:rsidR="000B42CA" w:rsidRPr="00CD2B42" w:rsidRDefault="000B42CA" w:rsidP="00412798">
            <w:pPr>
              <w:rPr>
                <w:rFonts w:cs="Times New Roman"/>
                <w:b/>
                <w:bCs/>
              </w:rPr>
            </w:pPr>
            <w:r w:rsidRPr="00CD2B42">
              <w:rPr>
                <w:b/>
                <w:bCs/>
                <w:sz w:val="22"/>
                <w:szCs w:val="22"/>
              </w:rPr>
              <w:t>Under 18 conceptions</w:t>
            </w:r>
          </w:p>
        </w:tc>
        <w:tc>
          <w:tcPr>
            <w:tcW w:w="1504" w:type="dxa"/>
          </w:tcPr>
          <w:p w:rsidR="000B42CA" w:rsidRPr="00CD2B42" w:rsidRDefault="000B42CA" w:rsidP="00412798">
            <w:pPr>
              <w:rPr>
                <w:rFonts w:cs="Times New Roman"/>
                <w:b/>
                <w:bCs/>
              </w:rPr>
            </w:pPr>
          </w:p>
        </w:tc>
        <w:tc>
          <w:tcPr>
            <w:tcW w:w="2959" w:type="dxa"/>
          </w:tcPr>
          <w:p w:rsidR="000B42CA" w:rsidRPr="00CD2B42" w:rsidRDefault="000B42CA" w:rsidP="00412798">
            <w:pPr>
              <w:rPr>
                <w:rFonts w:cs="Times New Roman"/>
                <w:b/>
                <w:bCs/>
              </w:rPr>
            </w:pPr>
          </w:p>
        </w:tc>
      </w:tr>
      <w:tr w:rsidR="000B42CA" w:rsidRPr="00AB4D4E">
        <w:trPr>
          <w:trHeight w:val="84"/>
        </w:trPr>
        <w:tc>
          <w:tcPr>
            <w:tcW w:w="914" w:type="dxa"/>
          </w:tcPr>
          <w:p w:rsidR="000B42CA" w:rsidRPr="00CD2B42" w:rsidRDefault="000B42CA" w:rsidP="00412798">
            <w:pPr>
              <w:rPr>
                <w:rFonts w:cs="Times New Roman"/>
              </w:rPr>
            </w:pPr>
            <w:r w:rsidRPr="00CD2B42">
              <w:rPr>
                <w:sz w:val="22"/>
                <w:szCs w:val="22"/>
              </w:rPr>
              <w:t>2.04</w:t>
            </w:r>
          </w:p>
        </w:tc>
        <w:tc>
          <w:tcPr>
            <w:tcW w:w="4971" w:type="dxa"/>
          </w:tcPr>
          <w:p w:rsidR="000B42CA" w:rsidRPr="00CD2B42" w:rsidRDefault="000B42CA" w:rsidP="00412798">
            <w:pPr>
              <w:rPr>
                <w:rFonts w:cs="Times New Roman"/>
              </w:rPr>
            </w:pPr>
            <w:r>
              <w:rPr>
                <w:sz w:val="22"/>
                <w:szCs w:val="22"/>
              </w:rPr>
              <w:t>Under 18 conception rate per 1,000 population</w:t>
            </w:r>
          </w:p>
        </w:tc>
        <w:tc>
          <w:tcPr>
            <w:tcW w:w="1504" w:type="dxa"/>
          </w:tcPr>
          <w:p w:rsidR="000B42CA" w:rsidRPr="00CD2B42" w:rsidRDefault="000B42CA" w:rsidP="00412798">
            <w:pPr>
              <w:rPr>
                <w:rFonts w:cs="Times New Roman"/>
              </w:rPr>
            </w:pPr>
            <w:r w:rsidRPr="00CD2B42">
              <w:rPr>
                <w:sz w:val="22"/>
                <w:szCs w:val="22"/>
              </w:rPr>
              <w:t>2011</w:t>
            </w:r>
          </w:p>
        </w:tc>
        <w:tc>
          <w:tcPr>
            <w:tcW w:w="2959" w:type="dxa"/>
          </w:tcPr>
          <w:p w:rsidR="000B42CA" w:rsidRPr="00AB4D4E" w:rsidRDefault="000B42CA" w:rsidP="00412798">
            <w:pPr>
              <w:rPr>
                <w:rFonts w:cs="Times New Roman"/>
                <w:b/>
                <w:bCs/>
              </w:rPr>
            </w:pPr>
            <w:r w:rsidRPr="00AB4D4E">
              <w:rPr>
                <w:sz w:val="22"/>
                <w:szCs w:val="22"/>
              </w:rPr>
              <w:t xml:space="preserve">Updated data </w:t>
            </w:r>
            <w:r>
              <w:rPr>
                <w:sz w:val="22"/>
                <w:szCs w:val="22"/>
              </w:rPr>
              <w:t xml:space="preserve">and revised baseline** </w:t>
            </w:r>
            <w:r w:rsidRPr="00AB4D4E">
              <w:rPr>
                <w:sz w:val="22"/>
                <w:szCs w:val="22"/>
              </w:rPr>
              <w:t>(baseline period – 2010)</w:t>
            </w:r>
          </w:p>
        </w:tc>
      </w:tr>
      <w:tr w:rsidR="000B42CA" w:rsidRPr="00AB4D4E">
        <w:tc>
          <w:tcPr>
            <w:tcW w:w="914" w:type="dxa"/>
          </w:tcPr>
          <w:p w:rsidR="000B42CA" w:rsidRPr="0080263B" w:rsidRDefault="000B42CA" w:rsidP="00412798">
            <w:pPr>
              <w:rPr>
                <w:rFonts w:cs="Times New Roman"/>
                <w:b/>
                <w:bCs/>
              </w:rPr>
            </w:pPr>
            <w:r w:rsidRPr="0080263B">
              <w:rPr>
                <w:b/>
                <w:bCs/>
                <w:sz w:val="22"/>
                <w:szCs w:val="22"/>
              </w:rPr>
              <w:t>2.06</w:t>
            </w:r>
          </w:p>
        </w:tc>
        <w:tc>
          <w:tcPr>
            <w:tcW w:w="4971" w:type="dxa"/>
          </w:tcPr>
          <w:p w:rsidR="000B42CA" w:rsidRPr="0080263B" w:rsidRDefault="000B42CA" w:rsidP="00412798">
            <w:pPr>
              <w:rPr>
                <w:rFonts w:cs="Times New Roman"/>
                <w:b/>
                <w:bCs/>
              </w:rPr>
            </w:pPr>
            <w:r w:rsidRPr="0080263B">
              <w:rPr>
                <w:b/>
                <w:bCs/>
                <w:sz w:val="22"/>
                <w:szCs w:val="22"/>
              </w:rPr>
              <w:t>Excess weight in 4-5 and 10-11 year olds</w:t>
            </w:r>
          </w:p>
        </w:tc>
        <w:tc>
          <w:tcPr>
            <w:tcW w:w="1504" w:type="dxa"/>
          </w:tcPr>
          <w:p w:rsidR="000B42CA" w:rsidRPr="00AB4D4E" w:rsidRDefault="000B42CA" w:rsidP="00412798">
            <w:pPr>
              <w:rPr>
                <w:rFonts w:cs="Times New Roman"/>
              </w:rPr>
            </w:pPr>
          </w:p>
        </w:tc>
        <w:tc>
          <w:tcPr>
            <w:tcW w:w="2959" w:type="dxa"/>
          </w:tcPr>
          <w:p w:rsidR="000B42CA" w:rsidRPr="00AB4D4E" w:rsidRDefault="000B42CA" w:rsidP="00412798">
            <w:pPr>
              <w:rPr>
                <w:rFonts w:cs="Times New Roman"/>
              </w:rPr>
            </w:pPr>
          </w:p>
        </w:tc>
      </w:tr>
      <w:tr w:rsidR="000B42CA" w:rsidRPr="00AB4D4E">
        <w:tc>
          <w:tcPr>
            <w:tcW w:w="914" w:type="dxa"/>
          </w:tcPr>
          <w:p w:rsidR="000B42CA" w:rsidRPr="00AB4D4E" w:rsidRDefault="000B42CA" w:rsidP="00412798">
            <w:pPr>
              <w:rPr>
                <w:rFonts w:cs="Times New Roman"/>
              </w:rPr>
            </w:pPr>
            <w:r>
              <w:rPr>
                <w:sz w:val="22"/>
                <w:szCs w:val="22"/>
              </w:rPr>
              <w:t>2.06i</w:t>
            </w:r>
          </w:p>
        </w:tc>
        <w:tc>
          <w:tcPr>
            <w:tcW w:w="4971" w:type="dxa"/>
          </w:tcPr>
          <w:p w:rsidR="000B42CA" w:rsidRPr="0080263B" w:rsidRDefault="000B42CA" w:rsidP="00412798">
            <w:pPr>
              <w:rPr>
                <w:rFonts w:cs="Times New Roman"/>
              </w:rPr>
            </w:pPr>
            <w:r w:rsidRPr="0080263B">
              <w:rPr>
                <w:sz w:val="22"/>
                <w:szCs w:val="22"/>
              </w:rPr>
              <w:t>Proportion of children aged 4-5 classified as overweight or obese.</w:t>
            </w:r>
          </w:p>
        </w:tc>
        <w:tc>
          <w:tcPr>
            <w:tcW w:w="1504" w:type="dxa"/>
          </w:tcPr>
          <w:p w:rsidR="000B42CA" w:rsidRPr="00AB4D4E" w:rsidRDefault="000B42CA" w:rsidP="00D016A6">
            <w:pPr>
              <w:rPr>
                <w:rFonts w:cs="Times New Roman"/>
              </w:rPr>
            </w:pPr>
            <w:r>
              <w:rPr>
                <w:sz w:val="22"/>
                <w:szCs w:val="22"/>
              </w:rPr>
              <w:t>2011/12</w:t>
            </w:r>
          </w:p>
        </w:tc>
        <w:tc>
          <w:tcPr>
            <w:tcW w:w="2959" w:type="dxa"/>
          </w:tcPr>
          <w:p w:rsidR="000B42CA" w:rsidRPr="00AB4D4E" w:rsidRDefault="000B42CA" w:rsidP="00D016A6">
            <w:pPr>
              <w:rPr>
                <w:rFonts w:cs="Times New Roman"/>
              </w:rPr>
            </w:pPr>
            <w:r w:rsidRPr="00AB4D4E">
              <w:rPr>
                <w:sz w:val="22"/>
                <w:szCs w:val="22"/>
              </w:rPr>
              <w:t>Updated data (baseline period – 2010/11)</w:t>
            </w:r>
          </w:p>
        </w:tc>
      </w:tr>
      <w:tr w:rsidR="000B42CA" w:rsidRPr="0080263B">
        <w:tc>
          <w:tcPr>
            <w:tcW w:w="914" w:type="dxa"/>
          </w:tcPr>
          <w:p w:rsidR="000B42CA" w:rsidRPr="0080263B" w:rsidRDefault="000B42CA" w:rsidP="00412798">
            <w:pPr>
              <w:rPr>
                <w:rFonts w:cs="Times New Roman"/>
                <w:color w:val="000000"/>
              </w:rPr>
            </w:pPr>
            <w:r w:rsidRPr="0080263B">
              <w:rPr>
                <w:color w:val="000000"/>
                <w:sz w:val="22"/>
                <w:szCs w:val="22"/>
              </w:rPr>
              <w:t>2.06ii</w:t>
            </w:r>
          </w:p>
        </w:tc>
        <w:tc>
          <w:tcPr>
            <w:tcW w:w="4971" w:type="dxa"/>
          </w:tcPr>
          <w:p w:rsidR="000B42CA" w:rsidRPr="0080263B" w:rsidRDefault="000B42CA" w:rsidP="00412798">
            <w:pPr>
              <w:rPr>
                <w:rFonts w:cs="Times New Roman"/>
                <w:color w:val="000000"/>
              </w:rPr>
            </w:pPr>
            <w:r w:rsidRPr="0080263B">
              <w:rPr>
                <w:color w:val="000000"/>
                <w:sz w:val="22"/>
                <w:szCs w:val="22"/>
              </w:rPr>
              <w:t>Proportion of children aged 10-11 classified as overweight or obese.</w:t>
            </w:r>
          </w:p>
        </w:tc>
        <w:tc>
          <w:tcPr>
            <w:tcW w:w="1504" w:type="dxa"/>
          </w:tcPr>
          <w:p w:rsidR="000B42CA" w:rsidRPr="0080263B" w:rsidRDefault="000B42CA" w:rsidP="00412798">
            <w:pPr>
              <w:rPr>
                <w:rFonts w:cs="Times New Roman"/>
                <w:color w:val="000000"/>
              </w:rPr>
            </w:pPr>
            <w:r>
              <w:rPr>
                <w:color w:val="000000"/>
                <w:sz w:val="22"/>
                <w:szCs w:val="22"/>
              </w:rPr>
              <w:t>2011/12</w:t>
            </w:r>
          </w:p>
        </w:tc>
        <w:tc>
          <w:tcPr>
            <w:tcW w:w="2959" w:type="dxa"/>
          </w:tcPr>
          <w:p w:rsidR="000B42CA" w:rsidRPr="0080263B" w:rsidRDefault="000B42CA" w:rsidP="00412798">
            <w:pPr>
              <w:rPr>
                <w:rFonts w:cs="Times New Roman"/>
                <w:color w:val="000000"/>
              </w:rPr>
            </w:pPr>
            <w:r w:rsidRPr="00AB4D4E">
              <w:rPr>
                <w:sz w:val="22"/>
                <w:szCs w:val="22"/>
              </w:rPr>
              <w:t>Updated data (baseline period – 2010/11)</w:t>
            </w:r>
          </w:p>
        </w:tc>
      </w:tr>
      <w:tr w:rsidR="000B42CA" w:rsidRPr="0080263B">
        <w:tc>
          <w:tcPr>
            <w:tcW w:w="914" w:type="dxa"/>
          </w:tcPr>
          <w:p w:rsidR="000B42CA" w:rsidRPr="0080263B" w:rsidRDefault="000B42CA" w:rsidP="00412798">
            <w:pPr>
              <w:rPr>
                <w:rFonts w:cs="Times New Roman"/>
                <w:b/>
                <w:bCs/>
                <w:color w:val="000000"/>
              </w:rPr>
            </w:pPr>
            <w:r w:rsidRPr="0080263B">
              <w:rPr>
                <w:b/>
                <w:bCs/>
                <w:color w:val="000000"/>
                <w:sz w:val="22"/>
                <w:szCs w:val="22"/>
              </w:rPr>
              <w:t>2.08</w:t>
            </w:r>
          </w:p>
        </w:tc>
        <w:tc>
          <w:tcPr>
            <w:tcW w:w="4971" w:type="dxa"/>
          </w:tcPr>
          <w:p w:rsidR="000B42CA" w:rsidRPr="0080263B" w:rsidRDefault="000B42CA" w:rsidP="00412798">
            <w:pPr>
              <w:rPr>
                <w:rFonts w:cs="Times New Roman"/>
                <w:b/>
                <w:bCs/>
                <w:color w:val="000000"/>
              </w:rPr>
            </w:pPr>
            <w:r w:rsidRPr="0080263B">
              <w:rPr>
                <w:b/>
                <w:bCs/>
                <w:color w:val="000000"/>
                <w:sz w:val="22"/>
                <w:szCs w:val="22"/>
              </w:rPr>
              <w:t>Emotional well-being of looked after children</w:t>
            </w:r>
          </w:p>
        </w:tc>
        <w:tc>
          <w:tcPr>
            <w:tcW w:w="1504" w:type="dxa"/>
          </w:tcPr>
          <w:p w:rsidR="000B42CA" w:rsidRPr="0080263B" w:rsidRDefault="000B42CA" w:rsidP="00412798">
            <w:pPr>
              <w:rPr>
                <w:rFonts w:cs="Times New Roman"/>
                <w:b/>
                <w:bCs/>
                <w:color w:val="000000"/>
              </w:rPr>
            </w:pPr>
          </w:p>
        </w:tc>
        <w:tc>
          <w:tcPr>
            <w:tcW w:w="2959" w:type="dxa"/>
          </w:tcPr>
          <w:p w:rsidR="000B42CA" w:rsidRPr="0080263B" w:rsidRDefault="000B42CA" w:rsidP="00412798">
            <w:pPr>
              <w:rPr>
                <w:rFonts w:cs="Times New Roman"/>
                <w:b/>
                <w:bCs/>
                <w:color w:val="000000"/>
              </w:rPr>
            </w:pPr>
          </w:p>
        </w:tc>
      </w:tr>
      <w:tr w:rsidR="000B42CA" w:rsidRPr="0080263B">
        <w:tc>
          <w:tcPr>
            <w:tcW w:w="914" w:type="dxa"/>
          </w:tcPr>
          <w:p w:rsidR="000B42CA" w:rsidRPr="0080263B" w:rsidRDefault="000B42CA" w:rsidP="00412798">
            <w:pPr>
              <w:rPr>
                <w:rFonts w:cs="Times New Roman"/>
              </w:rPr>
            </w:pPr>
            <w:r>
              <w:rPr>
                <w:sz w:val="22"/>
                <w:szCs w:val="22"/>
              </w:rPr>
              <w:t>2.08</w:t>
            </w:r>
          </w:p>
        </w:tc>
        <w:tc>
          <w:tcPr>
            <w:tcW w:w="4971" w:type="dxa"/>
          </w:tcPr>
          <w:p w:rsidR="000B42CA" w:rsidRPr="0080263B" w:rsidRDefault="000B42CA" w:rsidP="005156CD">
            <w:pPr>
              <w:rPr>
                <w:rFonts w:cs="Times New Roman"/>
              </w:rPr>
            </w:pPr>
            <w:r w:rsidRPr="0080263B">
              <w:rPr>
                <w:sz w:val="22"/>
                <w:szCs w:val="22"/>
              </w:rPr>
              <w:t>Total difficulties score for all looked after children aged between 4 and 16 (inclusive) at the date of their latest assessment, who have been in care for at least 12 months on 31 March.</w:t>
            </w:r>
          </w:p>
        </w:tc>
        <w:tc>
          <w:tcPr>
            <w:tcW w:w="1504" w:type="dxa"/>
          </w:tcPr>
          <w:p w:rsidR="000B42CA" w:rsidRPr="0080263B" w:rsidRDefault="000B42CA" w:rsidP="00412798">
            <w:pPr>
              <w:rPr>
                <w:rFonts w:cs="Times New Roman"/>
              </w:rPr>
            </w:pPr>
            <w:r>
              <w:rPr>
                <w:sz w:val="22"/>
                <w:szCs w:val="22"/>
              </w:rPr>
              <w:t>2011/12</w:t>
            </w:r>
          </w:p>
        </w:tc>
        <w:tc>
          <w:tcPr>
            <w:tcW w:w="2959" w:type="dxa"/>
          </w:tcPr>
          <w:p w:rsidR="000B42CA" w:rsidRPr="0080263B" w:rsidRDefault="000B42CA" w:rsidP="00412798">
            <w:pPr>
              <w:rPr>
                <w:rFonts w:cs="Times New Roman"/>
              </w:rPr>
            </w:pPr>
            <w:r w:rsidRPr="00AB4D4E">
              <w:rPr>
                <w:sz w:val="22"/>
                <w:szCs w:val="22"/>
              </w:rPr>
              <w:t>Updated data (baseline period – 2010/11)</w:t>
            </w:r>
          </w:p>
        </w:tc>
      </w:tr>
      <w:tr w:rsidR="000B42CA" w:rsidRPr="0080263B">
        <w:trPr>
          <w:trHeight w:val="269"/>
        </w:trPr>
        <w:tc>
          <w:tcPr>
            <w:tcW w:w="914" w:type="dxa"/>
          </w:tcPr>
          <w:p w:rsidR="000B42CA" w:rsidRPr="004F4DC3" w:rsidRDefault="000B42CA" w:rsidP="00412798">
            <w:pPr>
              <w:rPr>
                <w:rFonts w:cs="Times New Roman"/>
                <w:b/>
                <w:bCs/>
              </w:rPr>
            </w:pPr>
            <w:r w:rsidRPr="004F4DC3">
              <w:rPr>
                <w:b/>
                <w:bCs/>
                <w:sz w:val="22"/>
                <w:szCs w:val="22"/>
              </w:rPr>
              <w:t>2.15</w:t>
            </w:r>
          </w:p>
        </w:tc>
        <w:tc>
          <w:tcPr>
            <w:tcW w:w="4971" w:type="dxa"/>
          </w:tcPr>
          <w:p w:rsidR="000B42CA" w:rsidRPr="004F4DC3" w:rsidRDefault="000B42CA" w:rsidP="00956FB6">
            <w:pPr>
              <w:rPr>
                <w:rFonts w:cs="Times New Roman"/>
                <w:b/>
                <w:bCs/>
              </w:rPr>
            </w:pPr>
            <w:r w:rsidRPr="003521A4">
              <w:rPr>
                <w:b/>
                <w:bCs/>
                <w:sz w:val="22"/>
                <w:szCs w:val="22"/>
              </w:rPr>
              <w:t>Successful completion of drug treatment</w:t>
            </w:r>
          </w:p>
        </w:tc>
        <w:tc>
          <w:tcPr>
            <w:tcW w:w="1504" w:type="dxa"/>
          </w:tcPr>
          <w:p w:rsidR="000B42CA" w:rsidRPr="004F4DC3" w:rsidRDefault="000B42CA" w:rsidP="00412798">
            <w:pPr>
              <w:rPr>
                <w:rFonts w:cs="Times New Roman"/>
                <w:b/>
                <w:bCs/>
              </w:rPr>
            </w:pPr>
          </w:p>
        </w:tc>
        <w:tc>
          <w:tcPr>
            <w:tcW w:w="2959" w:type="dxa"/>
          </w:tcPr>
          <w:p w:rsidR="000B42CA" w:rsidRPr="004F4DC3" w:rsidRDefault="000B42CA" w:rsidP="00412798">
            <w:pPr>
              <w:rPr>
                <w:rFonts w:cs="Times New Roman"/>
                <w:b/>
                <w:bCs/>
              </w:rPr>
            </w:pPr>
          </w:p>
        </w:tc>
      </w:tr>
      <w:tr w:rsidR="000B42CA" w:rsidRPr="0080263B">
        <w:trPr>
          <w:trHeight w:val="772"/>
        </w:trPr>
        <w:tc>
          <w:tcPr>
            <w:tcW w:w="914" w:type="dxa"/>
          </w:tcPr>
          <w:p w:rsidR="000B42CA" w:rsidRDefault="000B42CA" w:rsidP="00412798">
            <w:pPr>
              <w:rPr>
                <w:rFonts w:cs="Times New Roman"/>
              </w:rPr>
            </w:pPr>
            <w:r>
              <w:rPr>
                <w:sz w:val="22"/>
                <w:szCs w:val="22"/>
              </w:rPr>
              <w:t>2.15i</w:t>
            </w:r>
          </w:p>
        </w:tc>
        <w:tc>
          <w:tcPr>
            <w:tcW w:w="4971" w:type="dxa"/>
          </w:tcPr>
          <w:p w:rsidR="000B42CA" w:rsidRPr="004F4DC3" w:rsidRDefault="000B42CA" w:rsidP="00956FB6">
            <w:pPr>
              <w:rPr>
                <w:rFonts w:cs="Times New Roman"/>
              </w:rPr>
            </w:pPr>
            <w:r w:rsidRPr="004F4DC3">
              <w:rPr>
                <w:sz w:val="22"/>
                <w:szCs w:val="22"/>
              </w:rPr>
              <w:t>Number of users of opiates that left drug treatment successfully (free of drug(s) of dependence) who do not then re-present to treatment again within 6 months as a proportion of the total number of opiate users in treatment</w:t>
            </w:r>
          </w:p>
        </w:tc>
        <w:tc>
          <w:tcPr>
            <w:tcW w:w="1504" w:type="dxa"/>
          </w:tcPr>
          <w:p w:rsidR="000B42CA" w:rsidRPr="0080263B" w:rsidRDefault="000B42CA" w:rsidP="00412798">
            <w:pPr>
              <w:rPr>
                <w:rFonts w:cs="Times New Roman"/>
              </w:rPr>
            </w:pPr>
            <w:r>
              <w:rPr>
                <w:sz w:val="22"/>
                <w:szCs w:val="22"/>
              </w:rPr>
              <w:t>2010</w:t>
            </w:r>
          </w:p>
        </w:tc>
        <w:tc>
          <w:tcPr>
            <w:tcW w:w="2959" w:type="dxa"/>
          </w:tcPr>
          <w:p w:rsidR="000B42CA" w:rsidRPr="0080263B" w:rsidRDefault="000B42CA" w:rsidP="00412798">
            <w:pPr>
              <w:rPr>
                <w:rFonts w:cs="Times New Roman"/>
              </w:rPr>
            </w:pPr>
            <w:r>
              <w:rPr>
                <w:sz w:val="22"/>
                <w:szCs w:val="22"/>
              </w:rPr>
              <w:t>New baseline data following change to technical specifications*** in April 2013</w:t>
            </w:r>
          </w:p>
        </w:tc>
      </w:tr>
      <w:tr w:rsidR="000B42CA" w:rsidRPr="0080263B">
        <w:trPr>
          <w:trHeight w:val="772"/>
        </w:trPr>
        <w:tc>
          <w:tcPr>
            <w:tcW w:w="914" w:type="dxa"/>
          </w:tcPr>
          <w:p w:rsidR="000B42CA" w:rsidRDefault="000B42CA" w:rsidP="00412798">
            <w:pPr>
              <w:rPr>
                <w:rFonts w:cs="Times New Roman"/>
              </w:rPr>
            </w:pPr>
            <w:r>
              <w:rPr>
                <w:sz w:val="22"/>
                <w:szCs w:val="22"/>
              </w:rPr>
              <w:t>2.15ii</w:t>
            </w:r>
          </w:p>
        </w:tc>
        <w:tc>
          <w:tcPr>
            <w:tcW w:w="4971" w:type="dxa"/>
          </w:tcPr>
          <w:p w:rsidR="000B42CA" w:rsidRPr="004F4DC3" w:rsidRDefault="000B42CA" w:rsidP="00956FB6">
            <w:pPr>
              <w:rPr>
                <w:rFonts w:cs="Times New Roman"/>
              </w:rPr>
            </w:pPr>
            <w:r w:rsidRPr="004F4DC3">
              <w:rPr>
                <w:sz w:val="22"/>
                <w:szCs w:val="22"/>
              </w:rPr>
              <w:t>Number of users on non-opiates that left drug treatment successfully (free of drug(s) of dependence) who do not then re-present to treatment again within 6 months as a proportion of the total number of non-opiate users in treatment</w:t>
            </w:r>
          </w:p>
        </w:tc>
        <w:tc>
          <w:tcPr>
            <w:tcW w:w="1504" w:type="dxa"/>
          </w:tcPr>
          <w:p w:rsidR="000B42CA" w:rsidRPr="0080263B" w:rsidRDefault="000B42CA" w:rsidP="00412798">
            <w:pPr>
              <w:rPr>
                <w:rFonts w:cs="Times New Roman"/>
              </w:rPr>
            </w:pPr>
            <w:r>
              <w:rPr>
                <w:sz w:val="22"/>
                <w:szCs w:val="22"/>
              </w:rPr>
              <w:t>2010</w:t>
            </w:r>
          </w:p>
        </w:tc>
        <w:tc>
          <w:tcPr>
            <w:tcW w:w="2959" w:type="dxa"/>
          </w:tcPr>
          <w:p w:rsidR="000B42CA" w:rsidRPr="0080263B" w:rsidRDefault="000B42CA" w:rsidP="00412798">
            <w:pPr>
              <w:rPr>
                <w:rFonts w:cs="Times New Roman"/>
              </w:rPr>
            </w:pPr>
            <w:r>
              <w:rPr>
                <w:sz w:val="22"/>
                <w:szCs w:val="22"/>
              </w:rPr>
              <w:t>New baseline data following change to technical specifications*** in April 2013</w:t>
            </w:r>
          </w:p>
        </w:tc>
      </w:tr>
      <w:tr w:rsidR="000B42CA" w:rsidRPr="0080263B">
        <w:trPr>
          <w:trHeight w:val="386"/>
        </w:trPr>
        <w:tc>
          <w:tcPr>
            <w:tcW w:w="914" w:type="dxa"/>
          </w:tcPr>
          <w:p w:rsidR="000B42CA" w:rsidRPr="00570479" w:rsidRDefault="000B42CA" w:rsidP="00412798">
            <w:pPr>
              <w:rPr>
                <w:rFonts w:cs="Times New Roman"/>
                <w:b/>
                <w:bCs/>
              </w:rPr>
            </w:pPr>
            <w:r w:rsidRPr="00570479">
              <w:rPr>
                <w:b/>
                <w:bCs/>
                <w:sz w:val="22"/>
                <w:szCs w:val="22"/>
              </w:rPr>
              <w:t>2.17</w:t>
            </w:r>
          </w:p>
        </w:tc>
        <w:tc>
          <w:tcPr>
            <w:tcW w:w="4971" w:type="dxa"/>
          </w:tcPr>
          <w:p w:rsidR="000B42CA" w:rsidRPr="00570479" w:rsidRDefault="000B42CA" w:rsidP="00956FB6">
            <w:pPr>
              <w:rPr>
                <w:rFonts w:cs="Times New Roman"/>
                <w:b/>
                <w:bCs/>
              </w:rPr>
            </w:pPr>
            <w:r w:rsidRPr="00570479">
              <w:rPr>
                <w:b/>
                <w:bCs/>
                <w:sz w:val="22"/>
                <w:szCs w:val="22"/>
              </w:rPr>
              <w:t>Recorded diabetes</w:t>
            </w:r>
          </w:p>
        </w:tc>
        <w:tc>
          <w:tcPr>
            <w:tcW w:w="1504" w:type="dxa"/>
          </w:tcPr>
          <w:p w:rsidR="000B42CA" w:rsidRPr="0080263B" w:rsidRDefault="000B42CA" w:rsidP="00412798">
            <w:pPr>
              <w:rPr>
                <w:rFonts w:cs="Times New Roman"/>
              </w:rPr>
            </w:pPr>
          </w:p>
        </w:tc>
        <w:tc>
          <w:tcPr>
            <w:tcW w:w="2959" w:type="dxa"/>
          </w:tcPr>
          <w:p w:rsidR="000B42CA" w:rsidRDefault="000B42CA" w:rsidP="00412798">
            <w:pPr>
              <w:rPr>
                <w:rFonts w:cs="Times New Roman"/>
              </w:rPr>
            </w:pPr>
          </w:p>
        </w:tc>
      </w:tr>
      <w:tr w:rsidR="000B42CA" w:rsidRPr="0080263B">
        <w:trPr>
          <w:trHeight w:val="772"/>
        </w:trPr>
        <w:tc>
          <w:tcPr>
            <w:tcW w:w="914" w:type="dxa"/>
          </w:tcPr>
          <w:p w:rsidR="000B42CA" w:rsidRDefault="000B42CA" w:rsidP="00412798">
            <w:pPr>
              <w:rPr>
                <w:rFonts w:cs="Times New Roman"/>
              </w:rPr>
            </w:pPr>
            <w:r>
              <w:rPr>
                <w:sz w:val="22"/>
                <w:szCs w:val="22"/>
              </w:rPr>
              <w:lastRenderedPageBreak/>
              <w:t>2.17</w:t>
            </w:r>
          </w:p>
        </w:tc>
        <w:tc>
          <w:tcPr>
            <w:tcW w:w="4971" w:type="dxa"/>
          </w:tcPr>
          <w:p w:rsidR="000B42CA" w:rsidRPr="00570479" w:rsidRDefault="000B42CA" w:rsidP="00956FB6">
            <w:pPr>
              <w:rPr>
                <w:rFonts w:cs="Times New Roman"/>
              </w:rPr>
            </w:pPr>
            <w:r w:rsidRPr="00570479">
              <w:rPr>
                <w:sz w:val="22"/>
                <w:szCs w:val="22"/>
              </w:rPr>
              <w:t>The prevalence of Quality and Outcomes Framework (QOF) recorded diabetes in the population registered with GP practices aged 17 and over.</w:t>
            </w:r>
          </w:p>
        </w:tc>
        <w:tc>
          <w:tcPr>
            <w:tcW w:w="1504" w:type="dxa"/>
          </w:tcPr>
          <w:p w:rsidR="000B42CA" w:rsidRPr="0080263B" w:rsidRDefault="000B42CA" w:rsidP="00412798">
            <w:pPr>
              <w:rPr>
                <w:rFonts w:cs="Times New Roman"/>
              </w:rPr>
            </w:pPr>
            <w:r>
              <w:rPr>
                <w:sz w:val="22"/>
                <w:szCs w:val="22"/>
              </w:rPr>
              <w:t>2011/12</w:t>
            </w:r>
          </w:p>
        </w:tc>
        <w:tc>
          <w:tcPr>
            <w:tcW w:w="2959" w:type="dxa"/>
          </w:tcPr>
          <w:p w:rsidR="000B42CA" w:rsidRDefault="000B42CA" w:rsidP="00412798">
            <w:pPr>
              <w:rPr>
                <w:rFonts w:cs="Times New Roman"/>
              </w:rPr>
            </w:pPr>
            <w:r w:rsidRPr="00AB4D4E">
              <w:rPr>
                <w:sz w:val="22"/>
                <w:szCs w:val="22"/>
              </w:rPr>
              <w:t>Updated data (baseline period – 2010/11)</w:t>
            </w:r>
          </w:p>
        </w:tc>
      </w:tr>
      <w:tr w:rsidR="000B42CA" w:rsidRPr="0080263B">
        <w:trPr>
          <w:trHeight w:val="544"/>
        </w:trPr>
        <w:tc>
          <w:tcPr>
            <w:tcW w:w="914" w:type="dxa"/>
          </w:tcPr>
          <w:p w:rsidR="000B42CA" w:rsidRPr="0037709A" w:rsidRDefault="000B42CA" w:rsidP="00412798">
            <w:pPr>
              <w:rPr>
                <w:rFonts w:cs="Times New Roman"/>
                <w:b/>
                <w:bCs/>
              </w:rPr>
            </w:pPr>
            <w:r w:rsidRPr="0037709A">
              <w:rPr>
                <w:b/>
                <w:bCs/>
                <w:sz w:val="22"/>
                <w:szCs w:val="22"/>
              </w:rPr>
              <w:t>2.21</w:t>
            </w:r>
          </w:p>
        </w:tc>
        <w:tc>
          <w:tcPr>
            <w:tcW w:w="4971" w:type="dxa"/>
          </w:tcPr>
          <w:p w:rsidR="000B42CA" w:rsidRPr="0037709A" w:rsidRDefault="000B42CA" w:rsidP="00956FB6">
            <w:pPr>
              <w:rPr>
                <w:rFonts w:cs="Times New Roman"/>
                <w:b/>
                <w:bCs/>
              </w:rPr>
            </w:pPr>
            <w:r w:rsidRPr="0037709A">
              <w:rPr>
                <w:b/>
                <w:bCs/>
                <w:sz w:val="22"/>
                <w:szCs w:val="22"/>
              </w:rPr>
              <w:t>Access to non-cancer screening programmes</w:t>
            </w:r>
          </w:p>
        </w:tc>
        <w:tc>
          <w:tcPr>
            <w:tcW w:w="1504" w:type="dxa"/>
          </w:tcPr>
          <w:p w:rsidR="000B42CA" w:rsidRDefault="000B42CA" w:rsidP="00412798">
            <w:pPr>
              <w:rPr>
                <w:rFonts w:cs="Times New Roman"/>
              </w:rPr>
            </w:pPr>
          </w:p>
        </w:tc>
        <w:tc>
          <w:tcPr>
            <w:tcW w:w="2959" w:type="dxa"/>
          </w:tcPr>
          <w:p w:rsidR="000B42CA" w:rsidRPr="00AB4D4E" w:rsidRDefault="000B42CA" w:rsidP="00412798">
            <w:pPr>
              <w:rPr>
                <w:rFonts w:cs="Times New Roman"/>
              </w:rPr>
            </w:pPr>
          </w:p>
        </w:tc>
      </w:tr>
      <w:tr w:rsidR="000B42CA" w:rsidRPr="0080263B">
        <w:trPr>
          <w:trHeight w:val="772"/>
        </w:trPr>
        <w:tc>
          <w:tcPr>
            <w:tcW w:w="914" w:type="dxa"/>
          </w:tcPr>
          <w:p w:rsidR="000B42CA" w:rsidRDefault="000B42CA" w:rsidP="00412798">
            <w:pPr>
              <w:rPr>
                <w:rFonts w:cs="Times New Roman"/>
              </w:rPr>
            </w:pPr>
            <w:r>
              <w:rPr>
                <w:sz w:val="22"/>
                <w:szCs w:val="22"/>
              </w:rPr>
              <w:t>2.21vii</w:t>
            </w:r>
          </w:p>
        </w:tc>
        <w:tc>
          <w:tcPr>
            <w:tcW w:w="4971" w:type="dxa"/>
          </w:tcPr>
          <w:p w:rsidR="000B42CA" w:rsidRPr="00570479" w:rsidRDefault="000B42CA" w:rsidP="00956FB6">
            <w:pPr>
              <w:rPr>
                <w:rFonts w:cs="Times New Roman"/>
              </w:rPr>
            </w:pPr>
            <w:r w:rsidRPr="00570479">
              <w:rPr>
                <w:sz w:val="22"/>
                <w:szCs w:val="22"/>
              </w:rPr>
              <w:t>Patients aged 12+ with diabetes tested at a digital screening encounter as a proportion of all those offered screening.</w:t>
            </w:r>
          </w:p>
        </w:tc>
        <w:tc>
          <w:tcPr>
            <w:tcW w:w="1504" w:type="dxa"/>
          </w:tcPr>
          <w:p w:rsidR="000B42CA" w:rsidRDefault="000B42CA" w:rsidP="00412798">
            <w:pPr>
              <w:rPr>
                <w:rFonts w:cs="Times New Roman"/>
              </w:rPr>
            </w:pPr>
            <w:r>
              <w:rPr>
                <w:sz w:val="22"/>
                <w:szCs w:val="22"/>
              </w:rPr>
              <w:t>2011/12</w:t>
            </w:r>
          </w:p>
        </w:tc>
        <w:tc>
          <w:tcPr>
            <w:tcW w:w="2959" w:type="dxa"/>
          </w:tcPr>
          <w:p w:rsidR="000B42CA" w:rsidRPr="00AB4D4E" w:rsidRDefault="000B42CA" w:rsidP="00412798">
            <w:pPr>
              <w:rPr>
                <w:rFonts w:cs="Times New Roman"/>
              </w:rPr>
            </w:pPr>
            <w:r w:rsidRPr="00AB4D4E">
              <w:rPr>
                <w:sz w:val="22"/>
                <w:szCs w:val="22"/>
              </w:rPr>
              <w:t>Updated data (baseline period – 2010/11)</w:t>
            </w:r>
          </w:p>
        </w:tc>
      </w:tr>
      <w:tr w:rsidR="000B42CA" w:rsidRPr="0080263B">
        <w:trPr>
          <w:trHeight w:val="597"/>
        </w:trPr>
        <w:tc>
          <w:tcPr>
            <w:tcW w:w="914" w:type="dxa"/>
          </w:tcPr>
          <w:p w:rsidR="000B42CA" w:rsidRPr="00B602C0" w:rsidRDefault="000B42CA" w:rsidP="00412798">
            <w:pPr>
              <w:rPr>
                <w:rFonts w:cs="Times New Roman"/>
                <w:b/>
                <w:bCs/>
              </w:rPr>
            </w:pPr>
            <w:r w:rsidRPr="00B602C0">
              <w:rPr>
                <w:b/>
                <w:bCs/>
                <w:sz w:val="22"/>
                <w:szCs w:val="22"/>
              </w:rPr>
              <w:t>2.24</w:t>
            </w:r>
          </w:p>
        </w:tc>
        <w:tc>
          <w:tcPr>
            <w:tcW w:w="4971" w:type="dxa"/>
          </w:tcPr>
          <w:p w:rsidR="000B42CA" w:rsidRPr="00B602C0" w:rsidRDefault="000B42CA" w:rsidP="00956FB6">
            <w:pPr>
              <w:rPr>
                <w:rFonts w:cs="Times New Roman"/>
                <w:b/>
                <w:bCs/>
              </w:rPr>
            </w:pPr>
            <w:r w:rsidRPr="00B602C0">
              <w:rPr>
                <w:b/>
                <w:bCs/>
                <w:sz w:val="22"/>
                <w:szCs w:val="22"/>
              </w:rPr>
              <w:t>Injuries due to falls in people aged 65 and over</w:t>
            </w:r>
          </w:p>
        </w:tc>
        <w:tc>
          <w:tcPr>
            <w:tcW w:w="1504" w:type="dxa"/>
          </w:tcPr>
          <w:p w:rsidR="000B42CA" w:rsidRDefault="000B42CA" w:rsidP="00412798">
            <w:pPr>
              <w:rPr>
                <w:rFonts w:cs="Times New Roman"/>
              </w:rPr>
            </w:pPr>
          </w:p>
        </w:tc>
        <w:tc>
          <w:tcPr>
            <w:tcW w:w="2959" w:type="dxa"/>
          </w:tcPr>
          <w:p w:rsidR="000B42CA" w:rsidRPr="00AB4D4E" w:rsidRDefault="000B42CA" w:rsidP="00412798">
            <w:pPr>
              <w:rPr>
                <w:rFonts w:cs="Times New Roman"/>
              </w:rPr>
            </w:pPr>
          </w:p>
        </w:tc>
      </w:tr>
      <w:tr w:rsidR="000B42CA" w:rsidRPr="0080263B">
        <w:trPr>
          <w:trHeight w:val="642"/>
        </w:trPr>
        <w:tc>
          <w:tcPr>
            <w:tcW w:w="914" w:type="dxa"/>
          </w:tcPr>
          <w:p w:rsidR="000B42CA" w:rsidRDefault="000B42CA" w:rsidP="00412798">
            <w:pPr>
              <w:rPr>
                <w:rFonts w:cs="Times New Roman"/>
              </w:rPr>
            </w:pPr>
            <w:r>
              <w:rPr>
                <w:sz w:val="22"/>
                <w:szCs w:val="22"/>
              </w:rPr>
              <w:t>2.24i</w:t>
            </w:r>
          </w:p>
        </w:tc>
        <w:tc>
          <w:tcPr>
            <w:tcW w:w="4971" w:type="dxa"/>
          </w:tcPr>
          <w:p w:rsidR="000B42CA" w:rsidRDefault="000B42CA" w:rsidP="00956FB6">
            <w:pPr>
              <w:rPr>
                <w:rFonts w:cs="Times New Roman"/>
              </w:rPr>
            </w:pPr>
            <w:r>
              <w:rPr>
                <w:sz w:val="22"/>
                <w:szCs w:val="22"/>
              </w:rPr>
              <w:t>Age-sex standardised rate of emergency hospital admissions for injuries due to falls in persons aged 65 and over per 100,000 population</w:t>
            </w:r>
          </w:p>
        </w:tc>
        <w:tc>
          <w:tcPr>
            <w:tcW w:w="1504" w:type="dxa"/>
          </w:tcPr>
          <w:p w:rsidR="000B42CA" w:rsidRDefault="000B42CA" w:rsidP="00412798">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642"/>
        </w:trPr>
        <w:tc>
          <w:tcPr>
            <w:tcW w:w="914" w:type="dxa"/>
          </w:tcPr>
          <w:p w:rsidR="000B42CA" w:rsidRDefault="000B42CA" w:rsidP="00412798">
            <w:pPr>
              <w:rPr>
                <w:rFonts w:cs="Times New Roman"/>
              </w:rPr>
            </w:pPr>
            <w:r>
              <w:rPr>
                <w:sz w:val="22"/>
                <w:szCs w:val="22"/>
              </w:rPr>
              <w:t>2.24ii</w:t>
            </w:r>
          </w:p>
        </w:tc>
        <w:tc>
          <w:tcPr>
            <w:tcW w:w="4971" w:type="dxa"/>
          </w:tcPr>
          <w:p w:rsidR="000B42CA" w:rsidRDefault="000B42CA" w:rsidP="00956FB6">
            <w:pPr>
              <w:rPr>
                <w:rFonts w:cs="Times New Roman"/>
              </w:rPr>
            </w:pPr>
            <w:r>
              <w:rPr>
                <w:sz w:val="22"/>
                <w:szCs w:val="22"/>
              </w:rPr>
              <w:t>Age-sex standardised rate of emergency hospital admissions for injuries due to falls in persons aged 65 to 79 per 100,000 population</w:t>
            </w:r>
          </w:p>
        </w:tc>
        <w:tc>
          <w:tcPr>
            <w:tcW w:w="1504" w:type="dxa"/>
          </w:tcPr>
          <w:p w:rsidR="000B42CA" w:rsidRDefault="000B42CA" w:rsidP="00C26B53">
            <w:pPr>
              <w:rPr>
                <w:rFonts w:cs="Times New Roman"/>
              </w:rPr>
            </w:pPr>
            <w:r>
              <w:rPr>
                <w:sz w:val="22"/>
                <w:szCs w:val="22"/>
              </w:rPr>
              <w:t>2011/12</w:t>
            </w:r>
          </w:p>
        </w:tc>
        <w:tc>
          <w:tcPr>
            <w:tcW w:w="2959" w:type="dxa"/>
          </w:tcPr>
          <w:p w:rsidR="000B42CA" w:rsidRPr="00AB4D4E" w:rsidRDefault="000B42CA" w:rsidP="00C26B53">
            <w:pPr>
              <w:rPr>
                <w:rFonts w:cs="Times New Roman"/>
              </w:rPr>
            </w:pPr>
            <w:r w:rsidRPr="00AB4D4E">
              <w:rPr>
                <w:sz w:val="22"/>
                <w:szCs w:val="22"/>
              </w:rPr>
              <w:t>Updated data (baseline period – 2010/11)</w:t>
            </w:r>
          </w:p>
        </w:tc>
      </w:tr>
      <w:tr w:rsidR="000B42CA" w:rsidRPr="0080263B">
        <w:trPr>
          <w:trHeight w:val="642"/>
        </w:trPr>
        <w:tc>
          <w:tcPr>
            <w:tcW w:w="914" w:type="dxa"/>
          </w:tcPr>
          <w:p w:rsidR="000B42CA" w:rsidRDefault="000B42CA" w:rsidP="00412798">
            <w:pPr>
              <w:rPr>
                <w:rFonts w:cs="Times New Roman"/>
              </w:rPr>
            </w:pPr>
            <w:r>
              <w:rPr>
                <w:sz w:val="22"/>
                <w:szCs w:val="22"/>
              </w:rPr>
              <w:t>2.24iii</w:t>
            </w:r>
          </w:p>
        </w:tc>
        <w:tc>
          <w:tcPr>
            <w:tcW w:w="4971" w:type="dxa"/>
          </w:tcPr>
          <w:p w:rsidR="000B42CA" w:rsidRDefault="000B42CA" w:rsidP="00956FB6">
            <w:pPr>
              <w:rPr>
                <w:rFonts w:cs="Times New Roman"/>
              </w:rPr>
            </w:pPr>
            <w:r>
              <w:rPr>
                <w:sz w:val="22"/>
                <w:szCs w:val="22"/>
              </w:rPr>
              <w:t>Age-sex standardised rate of emergency hospital admissions for injuries due to falls in persons aged 80 and over per 100,000 population</w:t>
            </w:r>
          </w:p>
        </w:tc>
        <w:tc>
          <w:tcPr>
            <w:tcW w:w="1504" w:type="dxa"/>
          </w:tcPr>
          <w:p w:rsidR="000B42CA" w:rsidRDefault="000B42CA" w:rsidP="00C26B53">
            <w:pPr>
              <w:rPr>
                <w:rFonts w:cs="Times New Roman"/>
              </w:rPr>
            </w:pPr>
            <w:r>
              <w:rPr>
                <w:sz w:val="22"/>
                <w:szCs w:val="22"/>
              </w:rPr>
              <w:t>2011/12</w:t>
            </w:r>
          </w:p>
        </w:tc>
        <w:tc>
          <w:tcPr>
            <w:tcW w:w="2959" w:type="dxa"/>
          </w:tcPr>
          <w:p w:rsidR="000B42CA" w:rsidRPr="00AB4D4E" w:rsidRDefault="000B42CA" w:rsidP="00C26B53">
            <w:pPr>
              <w:rPr>
                <w:rFonts w:cs="Times New Roman"/>
              </w:rPr>
            </w:pPr>
            <w:r w:rsidRPr="00AB4D4E">
              <w:rPr>
                <w:sz w:val="22"/>
                <w:szCs w:val="22"/>
              </w:rPr>
              <w:t>Updated data (baseline period – 2010/11)</w:t>
            </w:r>
          </w:p>
        </w:tc>
      </w:tr>
      <w:tr w:rsidR="000B42CA" w:rsidRPr="0080263B">
        <w:trPr>
          <w:trHeight w:val="289"/>
        </w:trPr>
        <w:tc>
          <w:tcPr>
            <w:tcW w:w="914" w:type="dxa"/>
          </w:tcPr>
          <w:p w:rsidR="000B42CA" w:rsidRPr="00B602C0" w:rsidRDefault="000B42CA" w:rsidP="00412798">
            <w:pPr>
              <w:rPr>
                <w:rFonts w:cs="Times New Roman"/>
                <w:b/>
                <w:bCs/>
              </w:rPr>
            </w:pPr>
            <w:r w:rsidRPr="00B602C0">
              <w:rPr>
                <w:b/>
                <w:bCs/>
                <w:sz w:val="22"/>
                <w:szCs w:val="22"/>
              </w:rPr>
              <w:t>3.02</w:t>
            </w:r>
          </w:p>
        </w:tc>
        <w:tc>
          <w:tcPr>
            <w:tcW w:w="4971" w:type="dxa"/>
          </w:tcPr>
          <w:p w:rsidR="000B42CA" w:rsidRPr="00B602C0" w:rsidRDefault="000B42CA" w:rsidP="00956FB6">
            <w:pPr>
              <w:rPr>
                <w:rFonts w:cs="Times New Roman"/>
                <w:b/>
                <w:bCs/>
              </w:rPr>
            </w:pPr>
            <w:r w:rsidRPr="00B602C0">
              <w:rPr>
                <w:b/>
                <w:bCs/>
                <w:sz w:val="22"/>
                <w:szCs w:val="22"/>
              </w:rPr>
              <w:t>Chlamydia diagnoses (15-24 year olds)</w:t>
            </w:r>
          </w:p>
        </w:tc>
        <w:tc>
          <w:tcPr>
            <w:tcW w:w="1504" w:type="dxa"/>
          </w:tcPr>
          <w:p w:rsidR="000B42CA" w:rsidRDefault="000B42CA" w:rsidP="00412798">
            <w:pPr>
              <w:rPr>
                <w:rFonts w:cs="Times New Roman"/>
              </w:rPr>
            </w:pPr>
          </w:p>
        </w:tc>
        <w:tc>
          <w:tcPr>
            <w:tcW w:w="2959" w:type="dxa"/>
          </w:tcPr>
          <w:p w:rsidR="000B42CA" w:rsidRPr="00AB4D4E" w:rsidRDefault="000B42CA" w:rsidP="006A27AA">
            <w:pPr>
              <w:rPr>
                <w:rFonts w:cs="Times New Roman"/>
              </w:rPr>
            </w:pPr>
          </w:p>
        </w:tc>
      </w:tr>
      <w:tr w:rsidR="000B42CA" w:rsidRPr="0080263B">
        <w:trPr>
          <w:trHeight w:val="772"/>
        </w:trPr>
        <w:tc>
          <w:tcPr>
            <w:tcW w:w="914" w:type="dxa"/>
          </w:tcPr>
          <w:p w:rsidR="000B42CA" w:rsidRPr="00B602C0" w:rsidRDefault="000B42CA" w:rsidP="00412798">
            <w:pPr>
              <w:rPr>
                <w:rFonts w:cs="Times New Roman"/>
              </w:rPr>
            </w:pPr>
            <w:r w:rsidRPr="00B602C0">
              <w:rPr>
                <w:sz w:val="22"/>
                <w:szCs w:val="22"/>
              </w:rPr>
              <w:t>3.02</w:t>
            </w:r>
          </w:p>
        </w:tc>
        <w:tc>
          <w:tcPr>
            <w:tcW w:w="4971" w:type="dxa"/>
          </w:tcPr>
          <w:p w:rsidR="000B42CA" w:rsidRPr="00B602C0" w:rsidRDefault="000B42CA" w:rsidP="00956FB6">
            <w:pPr>
              <w:rPr>
                <w:rFonts w:cs="Times New Roman"/>
              </w:rPr>
            </w:pPr>
            <w:r w:rsidRPr="00B602C0">
              <w:rPr>
                <w:sz w:val="22"/>
                <w:szCs w:val="22"/>
              </w:rPr>
              <w:t>Crude rate of chlamydia diagnoses per 100,000 young adults age 15-24 based on their area of residence.</w:t>
            </w:r>
          </w:p>
        </w:tc>
        <w:tc>
          <w:tcPr>
            <w:tcW w:w="1504" w:type="dxa"/>
          </w:tcPr>
          <w:p w:rsidR="000B42CA" w:rsidRDefault="000B42CA" w:rsidP="00412798">
            <w:pPr>
              <w:rPr>
                <w:rFonts w:cs="Times New Roman"/>
              </w:rPr>
            </w:pPr>
            <w:r>
              <w:rPr>
                <w:sz w:val="22"/>
                <w:szCs w:val="22"/>
              </w:rPr>
              <w:t>2011</w:t>
            </w:r>
          </w:p>
        </w:tc>
        <w:tc>
          <w:tcPr>
            <w:tcW w:w="2959" w:type="dxa"/>
          </w:tcPr>
          <w:p w:rsidR="000B42CA" w:rsidRPr="00AB4D4E" w:rsidRDefault="000B42CA" w:rsidP="006A27AA">
            <w:pPr>
              <w:rPr>
                <w:rFonts w:cs="Times New Roman"/>
              </w:rPr>
            </w:pPr>
            <w:r w:rsidRPr="00AB4D4E">
              <w:rPr>
                <w:sz w:val="22"/>
                <w:szCs w:val="22"/>
              </w:rPr>
              <w:t>Update</w:t>
            </w:r>
            <w:r>
              <w:rPr>
                <w:sz w:val="22"/>
                <w:szCs w:val="22"/>
              </w:rPr>
              <w:t>d data (baseline period – 2010</w:t>
            </w:r>
            <w:r w:rsidRPr="00AB4D4E">
              <w:rPr>
                <w:sz w:val="22"/>
                <w:szCs w:val="22"/>
              </w:rPr>
              <w:t>)</w:t>
            </w:r>
          </w:p>
        </w:tc>
      </w:tr>
      <w:tr w:rsidR="000B42CA" w:rsidRPr="0080263B">
        <w:trPr>
          <w:trHeight w:val="347"/>
        </w:trPr>
        <w:tc>
          <w:tcPr>
            <w:tcW w:w="914" w:type="dxa"/>
          </w:tcPr>
          <w:p w:rsidR="000B42CA" w:rsidRPr="00B602C0" w:rsidRDefault="000B42CA" w:rsidP="00412798">
            <w:pPr>
              <w:rPr>
                <w:rFonts w:cs="Times New Roman"/>
                <w:b/>
                <w:bCs/>
              </w:rPr>
            </w:pPr>
            <w:r w:rsidRPr="00B602C0">
              <w:rPr>
                <w:b/>
                <w:bCs/>
                <w:sz w:val="22"/>
                <w:szCs w:val="22"/>
              </w:rPr>
              <w:t>3.03</w:t>
            </w:r>
          </w:p>
        </w:tc>
        <w:tc>
          <w:tcPr>
            <w:tcW w:w="4971" w:type="dxa"/>
          </w:tcPr>
          <w:p w:rsidR="000B42CA" w:rsidRPr="00B602C0" w:rsidRDefault="000B42CA" w:rsidP="00956FB6">
            <w:pPr>
              <w:rPr>
                <w:rFonts w:cs="Times New Roman"/>
                <w:b/>
                <w:bCs/>
              </w:rPr>
            </w:pPr>
            <w:r w:rsidRPr="00B602C0">
              <w:rPr>
                <w:b/>
                <w:bCs/>
                <w:sz w:val="22"/>
                <w:szCs w:val="22"/>
              </w:rPr>
              <w:t>Population vaccination coverage</w:t>
            </w:r>
          </w:p>
        </w:tc>
        <w:tc>
          <w:tcPr>
            <w:tcW w:w="1504" w:type="dxa"/>
          </w:tcPr>
          <w:p w:rsidR="000B42CA" w:rsidRDefault="000B42CA" w:rsidP="00412798">
            <w:pPr>
              <w:rPr>
                <w:rFonts w:cs="Times New Roman"/>
              </w:rPr>
            </w:pPr>
          </w:p>
        </w:tc>
        <w:tc>
          <w:tcPr>
            <w:tcW w:w="2959" w:type="dxa"/>
          </w:tcPr>
          <w:p w:rsidR="000B42CA" w:rsidRPr="00AB4D4E" w:rsidRDefault="000B42CA" w:rsidP="006A27AA">
            <w:pPr>
              <w:rPr>
                <w:rFonts w:cs="Times New Roman"/>
              </w:rPr>
            </w:pPr>
          </w:p>
        </w:tc>
      </w:tr>
      <w:tr w:rsidR="000B42CA" w:rsidRPr="0080263B">
        <w:trPr>
          <w:trHeight w:val="772"/>
        </w:trPr>
        <w:tc>
          <w:tcPr>
            <w:tcW w:w="914" w:type="dxa"/>
          </w:tcPr>
          <w:p w:rsidR="000B42CA" w:rsidRDefault="000B42CA" w:rsidP="00412798">
            <w:pPr>
              <w:rPr>
                <w:rFonts w:cs="Times New Roman"/>
              </w:rPr>
            </w:pPr>
            <w:r>
              <w:rPr>
                <w:sz w:val="22"/>
                <w:szCs w:val="22"/>
              </w:rPr>
              <w:t>3.03i</w:t>
            </w:r>
          </w:p>
        </w:tc>
        <w:tc>
          <w:tcPr>
            <w:tcW w:w="4971" w:type="dxa"/>
          </w:tcPr>
          <w:p w:rsidR="000B42CA" w:rsidRPr="00B602C0" w:rsidRDefault="000B42CA" w:rsidP="00956FB6">
            <w:pPr>
              <w:rPr>
                <w:rFonts w:cs="Times New Roman"/>
              </w:rPr>
            </w:pPr>
            <w:r>
              <w:rPr>
                <w:sz w:val="22"/>
                <w:szCs w:val="22"/>
              </w:rPr>
              <w:t>Hepatitis B vaccination coverage (1 and 2 year olds)</w:t>
            </w:r>
          </w:p>
        </w:tc>
        <w:tc>
          <w:tcPr>
            <w:tcW w:w="1504" w:type="dxa"/>
          </w:tcPr>
          <w:p w:rsidR="000B42CA" w:rsidRDefault="000B42CA" w:rsidP="00412798">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3.03iii</w:t>
            </w:r>
          </w:p>
        </w:tc>
        <w:tc>
          <w:tcPr>
            <w:tcW w:w="4971" w:type="dxa"/>
          </w:tcPr>
          <w:p w:rsidR="000B42CA" w:rsidRDefault="000B42CA" w:rsidP="00956FB6">
            <w:pPr>
              <w:rPr>
                <w:rFonts w:cs="Times New Roman"/>
              </w:rPr>
            </w:pPr>
            <w:r>
              <w:rPr>
                <w:sz w:val="22"/>
                <w:szCs w:val="22"/>
              </w:rPr>
              <w:t>DTaP/IPV/Hib vaccination coverage (1, 2, and 5 year olds)</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3.03iv</w:t>
            </w:r>
          </w:p>
        </w:tc>
        <w:tc>
          <w:tcPr>
            <w:tcW w:w="4971" w:type="dxa"/>
          </w:tcPr>
          <w:p w:rsidR="000B42CA" w:rsidRDefault="000B42CA" w:rsidP="00956FB6">
            <w:pPr>
              <w:rPr>
                <w:rFonts w:cs="Times New Roman"/>
              </w:rPr>
            </w:pPr>
            <w:r>
              <w:rPr>
                <w:sz w:val="22"/>
                <w:szCs w:val="22"/>
              </w:rPr>
              <w:t>MenC vaccination coverage (1 year olds)</w:t>
            </w:r>
          </w:p>
        </w:tc>
        <w:tc>
          <w:tcPr>
            <w:tcW w:w="1504" w:type="dxa"/>
          </w:tcPr>
          <w:p w:rsidR="000B42CA" w:rsidRDefault="000B42CA" w:rsidP="00412798">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3.03v</w:t>
            </w:r>
          </w:p>
        </w:tc>
        <w:tc>
          <w:tcPr>
            <w:tcW w:w="4971" w:type="dxa"/>
          </w:tcPr>
          <w:p w:rsidR="000B42CA" w:rsidRDefault="000B42CA" w:rsidP="00956FB6">
            <w:pPr>
              <w:rPr>
                <w:rFonts w:cs="Times New Roman"/>
              </w:rPr>
            </w:pPr>
            <w:r>
              <w:rPr>
                <w:sz w:val="22"/>
                <w:szCs w:val="22"/>
              </w:rPr>
              <w:t>PCV vaccination coverage (1 year olds)</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3.03vi</w:t>
            </w:r>
          </w:p>
        </w:tc>
        <w:tc>
          <w:tcPr>
            <w:tcW w:w="4971" w:type="dxa"/>
          </w:tcPr>
          <w:p w:rsidR="000B42CA" w:rsidRDefault="000B42CA" w:rsidP="00956FB6">
            <w:pPr>
              <w:rPr>
                <w:rFonts w:cs="Times New Roman"/>
              </w:rPr>
            </w:pPr>
            <w:r>
              <w:rPr>
                <w:sz w:val="22"/>
                <w:szCs w:val="22"/>
              </w:rPr>
              <w:t>Hib/MenC booster vaccination coverage (2 and 5 year olds)</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3.03vii</w:t>
            </w:r>
          </w:p>
        </w:tc>
        <w:tc>
          <w:tcPr>
            <w:tcW w:w="4971" w:type="dxa"/>
          </w:tcPr>
          <w:p w:rsidR="000B42CA" w:rsidRDefault="000B42CA" w:rsidP="00956FB6">
            <w:pPr>
              <w:rPr>
                <w:rFonts w:cs="Times New Roman"/>
              </w:rPr>
            </w:pPr>
            <w:r>
              <w:rPr>
                <w:sz w:val="22"/>
                <w:szCs w:val="22"/>
              </w:rPr>
              <w:t>PCV booster vaccination coverage (2 year olds)</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3.03viii</w:t>
            </w:r>
          </w:p>
        </w:tc>
        <w:tc>
          <w:tcPr>
            <w:tcW w:w="4971" w:type="dxa"/>
          </w:tcPr>
          <w:p w:rsidR="000B42CA" w:rsidRDefault="000B42CA" w:rsidP="00956FB6">
            <w:pPr>
              <w:rPr>
                <w:rFonts w:cs="Times New Roman"/>
              </w:rPr>
            </w:pPr>
            <w:smartTag w:uri="urn:schemas-microsoft-com:office:smarttags" w:element="stockticker">
              <w:r>
                <w:rPr>
                  <w:sz w:val="22"/>
                  <w:szCs w:val="22"/>
                </w:rPr>
                <w:t>MMR</w:t>
              </w:r>
            </w:smartTag>
            <w:r>
              <w:rPr>
                <w:sz w:val="22"/>
                <w:szCs w:val="22"/>
              </w:rPr>
              <w:t xml:space="preserve"> vaccination coverage for one dose (2 year olds)</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lastRenderedPageBreak/>
              <w:t>3.03ix</w:t>
            </w:r>
          </w:p>
        </w:tc>
        <w:tc>
          <w:tcPr>
            <w:tcW w:w="4971" w:type="dxa"/>
          </w:tcPr>
          <w:p w:rsidR="000B42CA" w:rsidRDefault="000B42CA" w:rsidP="00956FB6">
            <w:pPr>
              <w:rPr>
                <w:rFonts w:cs="Times New Roman"/>
              </w:rPr>
            </w:pPr>
            <w:smartTag w:uri="urn:schemas-microsoft-com:office:smarttags" w:element="stockticker">
              <w:r>
                <w:rPr>
                  <w:sz w:val="22"/>
                  <w:szCs w:val="22"/>
                </w:rPr>
                <w:t>MMR</w:t>
              </w:r>
            </w:smartTag>
            <w:r>
              <w:rPr>
                <w:sz w:val="22"/>
                <w:szCs w:val="22"/>
              </w:rPr>
              <w:t xml:space="preserve"> vaccination coverage for one dose (5 year olds)</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3.03x</w:t>
            </w:r>
          </w:p>
        </w:tc>
        <w:tc>
          <w:tcPr>
            <w:tcW w:w="4971" w:type="dxa"/>
          </w:tcPr>
          <w:p w:rsidR="000B42CA" w:rsidRDefault="000B42CA" w:rsidP="00956FB6">
            <w:pPr>
              <w:rPr>
                <w:rFonts w:cs="Times New Roman"/>
              </w:rPr>
            </w:pPr>
            <w:smartTag w:uri="urn:schemas-microsoft-com:office:smarttags" w:element="stockticker">
              <w:r>
                <w:rPr>
                  <w:sz w:val="22"/>
                  <w:szCs w:val="22"/>
                </w:rPr>
                <w:t>MMR</w:t>
              </w:r>
            </w:smartTag>
            <w:r>
              <w:rPr>
                <w:sz w:val="22"/>
                <w:szCs w:val="22"/>
              </w:rPr>
              <w:t xml:space="preserve"> vaccination coverage for two doses (5 year olds)</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3.03xii</w:t>
            </w:r>
          </w:p>
        </w:tc>
        <w:tc>
          <w:tcPr>
            <w:tcW w:w="4971" w:type="dxa"/>
          </w:tcPr>
          <w:p w:rsidR="000B42CA" w:rsidRDefault="000B42CA" w:rsidP="00956FB6">
            <w:pPr>
              <w:rPr>
                <w:rFonts w:cs="Times New Roman"/>
              </w:rPr>
            </w:pPr>
            <w:r>
              <w:rPr>
                <w:sz w:val="22"/>
                <w:szCs w:val="22"/>
              </w:rPr>
              <w:t>HPV vaccination coverage (females 12-13 year olds)</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3.03xiii</w:t>
            </w:r>
          </w:p>
        </w:tc>
        <w:tc>
          <w:tcPr>
            <w:tcW w:w="4971" w:type="dxa"/>
          </w:tcPr>
          <w:p w:rsidR="000B42CA" w:rsidRDefault="000B42CA" w:rsidP="00956FB6">
            <w:pPr>
              <w:rPr>
                <w:rFonts w:cs="Times New Roman"/>
              </w:rPr>
            </w:pPr>
            <w:r>
              <w:rPr>
                <w:sz w:val="22"/>
                <w:szCs w:val="22"/>
              </w:rPr>
              <w:t>PPV vaccination coverage (aged 65 and over)</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3.03xiv</w:t>
            </w:r>
          </w:p>
        </w:tc>
        <w:tc>
          <w:tcPr>
            <w:tcW w:w="4971" w:type="dxa"/>
          </w:tcPr>
          <w:p w:rsidR="000B42CA" w:rsidRDefault="000B42CA" w:rsidP="00956FB6">
            <w:pPr>
              <w:rPr>
                <w:rFonts w:cs="Times New Roman"/>
              </w:rPr>
            </w:pPr>
            <w:r>
              <w:rPr>
                <w:sz w:val="22"/>
                <w:szCs w:val="22"/>
              </w:rPr>
              <w:t>Flu vaccination coverage (aged 65 and over)</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3.03xv</w:t>
            </w:r>
          </w:p>
        </w:tc>
        <w:tc>
          <w:tcPr>
            <w:tcW w:w="4971" w:type="dxa"/>
          </w:tcPr>
          <w:p w:rsidR="000B42CA" w:rsidRDefault="000B42CA" w:rsidP="00956FB6">
            <w:pPr>
              <w:rPr>
                <w:rFonts w:cs="Times New Roman"/>
              </w:rPr>
            </w:pPr>
            <w:r>
              <w:rPr>
                <w:sz w:val="22"/>
                <w:szCs w:val="22"/>
              </w:rPr>
              <w:t>Flu vaccination coverage (at risk individuals from age six months to under 65 years, excluding pregnant women)</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Pr="005D483C" w:rsidRDefault="000B42CA" w:rsidP="00412798">
            <w:pPr>
              <w:rPr>
                <w:rFonts w:cs="Times New Roman"/>
                <w:b/>
                <w:bCs/>
              </w:rPr>
            </w:pPr>
            <w:r w:rsidRPr="005D483C">
              <w:rPr>
                <w:b/>
                <w:bCs/>
                <w:sz w:val="22"/>
                <w:szCs w:val="22"/>
              </w:rPr>
              <w:t>3.06</w:t>
            </w:r>
          </w:p>
        </w:tc>
        <w:tc>
          <w:tcPr>
            <w:tcW w:w="4971" w:type="dxa"/>
          </w:tcPr>
          <w:p w:rsidR="000B42CA" w:rsidRPr="005D483C" w:rsidRDefault="000B42CA" w:rsidP="00956FB6">
            <w:pPr>
              <w:rPr>
                <w:rFonts w:cs="Times New Roman"/>
                <w:b/>
                <w:bCs/>
              </w:rPr>
            </w:pPr>
            <w:r w:rsidRPr="005D483C">
              <w:rPr>
                <w:b/>
                <w:bCs/>
                <w:sz w:val="22"/>
                <w:szCs w:val="22"/>
              </w:rPr>
              <w:t>Public sector organisations with a board approved sustainable development management plan</w:t>
            </w:r>
          </w:p>
        </w:tc>
        <w:tc>
          <w:tcPr>
            <w:tcW w:w="1504" w:type="dxa"/>
          </w:tcPr>
          <w:p w:rsidR="000B42CA" w:rsidRDefault="000B42CA" w:rsidP="006A27AA">
            <w:pPr>
              <w:rPr>
                <w:rFonts w:cs="Times New Roman"/>
              </w:rPr>
            </w:pPr>
          </w:p>
        </w:tc>
        <w:tc>
          <w:tcPr>
            <w:tcW w:w="2959" w:type="dxa"/>
          </w:tcPr>
          <w:p w:rsidR="000B42CA" w:rsidRPr="00AB4D4E" w:rsidRDefault="000B42CA" w:rsidP="006A27AA">
            <w:pPr>
              <w:rPr>
                <w:rFonts w:cs="Times New Roman"/>
              </w:rPr>
            </w:pPr>
          </w:p>
        </w:tc>
      </w:tr>
      <w:tr w:rsidR="000B42CA" w:rsidRPr="0080263B">
        <w:trPr>
          <w:trHeight w:val="772"/>
        </w:trPr>
        <w:tc>
          <w:tcPr>
            <w:tcW w:w="914" w:type="dxa"/>
          </w:tcPr>
          <w:p w:rsidR="000B42CA" w:rsidRPr="005D483C" w:rsidRDefault="000B42CA" w:rsidP="00412798">
            <w:pPr>
              <w:rPr>
                <w:rFonts w:cs="Times New Roman"/>
              </w:rPr>
            </w:pPr>
            <w:r w:rsidRPr="005D483C">
              <w:rPr>
                <w:sz w:val="22"/>
                <w:szCs w:val="22"/>
              </w:rPr>
              <w:t>3.6</w:t>
            </w:r>
          </w:p>
        </w:tc>
        <w:tc>
          <w:tcPr>
            <w:tcW w:w="4971" w:type="dxa"/>
          </w:tcPr>
          <w:p w:rsidR="000B42CA" w:rsidRPr="005D483C" w:rsidRDefault="000B42CA" w:rsidP="00956FB6">
            <w:pPr>
              <w:rPr>
                <w:rFonts w:cs="Times New Roman"/>
              </w:rPr>
            </w:pPr>
            <w:r>
              <w:rPr>
                <w:sz w:val="22"/>
                <w:szCs w:val="22"/>
              </w:rPr>
              <w:t>Percentage of NHS organisations with a board approved sustainable development management plan</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Pr="006A27AA" w:rsidRDefault="000B42CA" w:rsidP="00412798">
            <w:pPr>
              <w:rPr>
                <w:rFonts w:cs="Times New Roman"/>
                <w:b/>
                <w:bCs/>
              </w:rPr>
            </w:pPr>
            <w:r w:rsidRPr="006A27AA">
              <w:rPr>
                <w:b/>
                <w:bCs/>
                <w:sz w:val="22"/>
                <w:szCs w:val="22"/>
              </w:rPr>
              <w:t>4.14</w:t>
            </w:r>
          </w:p>
        </w:tc>
        <w:tc>
          <w:tcPr>
            <w:tcW w:w="4971" w:type="dxa"/>
          </w:tcPr>
          <w:p w:rsidR="000B42CA" w:rsidRPr="006A27AA" w:rsidRDefault="000B42CA" w:rsidP="00956FB6">
            <w:pPr>
              <w:rPr>
                <w:rFonts w:cs="Times New Roman"/>
                <w:b/>
                <w:bCs/>
              </w:rPr>
            </w:pPr>
            <w:r w:rsidRPr="006A27AA">
              <w:rPr>
                <w:b/>
                <w:bCs/>
                <w:sz w:val="22"/>
                <w:szCs w:val="22"/>
              </w:rPr>
              <w:t>Hip fractures in people aged 65 and over</w:t>
            </w:r>
          </w:p>
        </w:tc>
        <w:tc>
          <w:tcPr>
            <w:tcW w:w="1504" w:type="dxa"/>
          </w:tcPr>
          <w:p w:rsidR="000B42CA" w:rsidRDefault="000B42CA" w:rsidP="006A27AA">
            <w:pPr>
              <w:rPr>
                <w:rFonts w:cs="Times New Roman"/>
              </w:rPr>
            </w:pPr>
          </w:p>
        </w:tc>
        <w:tc>
          <w:tcPr>
            <w:tcW w:w="2959" w:type="dxa"/>
          </w:tcPr>
          <w:p w:rsidR="000B42CA" w:rsidRPr="00AB4D4E" w:rsidRDefault="000B42CA" w:rsidP="006A27AA">
            <w:pPr>
              <w:rPr>
                <w:rFonts w:cs="Times New Roman"/>
              </w:rPr>
            </w:pPr>
          </w:p>
        </w:tc>
      </w:tr>
      <w:tr w:rsidR="000B42CA" w:rsidRPr="0080263B">
        <w:trPr>
          <w:trHeight w:val="772"/>
        </w:trPr>
        <w:tc>
          <w:tcPr>
            <w:tcW w:w="914" w:type="dxa"/>
          </w:tcPr>
          <w:p w:rsidR="000B42CA" w:rsidRDefault="000B42CA" w:rsidP="00412798">
            <w:pPr>
              <w:rPr>
                <w:rFonts w:cs="Times New Roman"/>
              </w:rPr>
            </w:pPr>
            <w:r>
              <w:rPr>
                <w:sz w:val="22"/>
                <w:szCs w:val="22"/>
              </w:rPr>
              <w:t>4.14i</w:t>
            </w:r>
          </w:p>
        </w:tc>
        <w:tc>
          <w:tcPr>
            <w:tcW w:w="4971" w:type="dxa"/>
          </w:tcPr>
          <w:p w:rsidR="000B42CA" w:rsidRDefault="000B42CA" w:rsidP="00956FB6">
            <w:pPr>
              <w:rPr>
                <w:rFonts w:cs="Times New Roman"/>
              </w:rPr>
            </w:pPr>
            <w:r>
              <w:rPr>
                <w:sz w:val="22"/>
                <w:szCs w:val="22"/>
              </w:rPr>
              <w:t>Age-sex standardised rate of emergency admissions for fractured neck of femur in persons aged 65 and over per 100,000 population</w:t>
            </w:r>
          </w:p>
        </w:tc>
        <w:tc>
          <w:tcPr>
            <w:tcW w:w="1504" w:type="dxa"/>
          </w:tcPr>
          <w:p w:rsidR="000B42CA" w:rsidRDefault="000B42CA" w:rsidP="006A27AA">
            <w:pPr>
              <w:rPr>
                <w:rFonts w:cs="Times New Roman"/>
              </w:rPr>
            </w:pPr>
            <w:r>
              <w:rPr>
                <w:sz w:val="22"/>
                <w:szCs w:val="22"/>
              </w:rPr>
              <w:t>2011/12</w:t>
            </w:r>
          </w:p>
        </w:tc>
        <w:tc>
          <w:tcPr>
            <w:tcW w:w="2959" w:type="dxa"/>
          </w:tcPr>
          <w:p w:rsidR="000B42CA" w:rsidRPr="00AB4D4E" w:rsidRDefault="000B42CA" w:rsidP="006A27AA">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4.14ii</w:t>
            </w:r>
          </w:p>
        </w:tc>
        <w:tc>
          <w:tcPr>
            <w:tcW w:w="4971" w:type="dxa"/>
          </w:tcPr>
          <w:p w:rsidR="000B42CA" w:rsidRDefault="000B42CA" w:rsidP="00956FB6">
            <w:pPr>
              <w:rPr>
                <w:rFonts w:cs="Times New Roman"/>
              </w:rPr>
            </w:pPr>
            <w:r>
              <w:rPr>
                <w:sz w:val="22"/>
                <w:szCs w:val="22"/>
              </w:rPr>
              <w:t>Age-sex standardised rate of emergency admissions for fractured neck of femur in persons aged 65 to 79 per 100,000 population</w:t>
            </w:r>
          </w:p>
        </w:tc>
        <w:tc>
          <w:tcPr>
            <w:tcW w:w="1504" w:type="dxa"/>
          </w:tcPr>
          <w:p w:rsidR="000B42CA" w:rsidRDefault="000B42CA" w:rsidP="00C26B53">
            <w:pPr>
              <w:rPr>
                <w:rFonts w:cs="Times New Roman"/>
              </w:rPr>
            </w:pPr>
            <w:r>
              <w:rPr>
                <w:sz w:val="22"/>
                <w:szCs w:val="22"/>
              </w:rPr>
              <w:t>2011/12</w:t>
            </w:r>
          </w:p>
        </w:tc>
        <w:tc>
          <w:tcPr>
            <w:tcW w:w="2959" w:type="dxa"/>
          </w:tcPr>
          <w:p w:rsidR="000B42CA" w:rsidRPr="00AB4D4E" w:rsidRDefault="000B42CA" w:rsidP="00C26B53">
            <w:pPr>
              <w:rPr>
                <w:rFonts w:cs="Times New Roman"/>
              </w:rPr>
            </w:pPr>
            <w:r w:rsidRPr="00AB4D4E">
              <w:rPr>
                <w:sz w:val="22"/>
                <w:szCs w:val="22"/>
              </w:rPr>
              <w:t>Updated data (baseline period – 2010/11)</w:t>
            </w:r>
          </w:p>
        </w:tc>
      </w:tr>
      <w:tr w:rsidR="000B42CA" w:rsidRPr="0080263B">
        <w:trPr>
          <w:trHeight w:val="772"/>
        </w:trPr>
        <w:tc>
          <w:tcPr>
            <w:tcW w:w="914" w:type="dxa"/>
          </w:tcPr>
          <w:p w:rsidR="000B42CA" w:rsidRDefault="000B42CA" w:rsidP="00412798">
            <w:pPr>
              <w:rPr>
                <w:rFonts w:cs="Times New Roman"/>
              </w:rPr>
            </w:pPr>
            <w:r>
              <w:rPr>
                <w:sz w:val="22"/>
                <w:szCs w:val="22"/>
              </w:rPr>
              <w:t>4.14iii</w:t>
            </w:r>
          </w:p>
        </w:tc>
        <w:tc>
          <w:tcPr>
            <w:tcW w:w="4971" w:type="dxa"/>
          </w:tcPr>
          <w:p w:rsidR="000B42CA" w:rsidRDefault="000B42CA" w:rsidP="00956FB6">
            <w:pPr>
              <w:rPr>
                <w:rFonts w:cs="Times New Roman"/>
              </w:rPr>
            </w:pPr>
            <w:r>
              <w:rPr>
                <w:sz w:val="22"/>
                <w:szCs w:val="22"/>
              </w:rPr>
              <w:t>Age-sex standardised rate of emergency admissions for fractured neck of femur in persons aged 80 and over per 100,000 population</w:t>
            </w:r>
          </w:p>
        </w:tc>
        <w:tc>
          <w:tcPr>
            <w:tcW w:w="1504" w:type="dxa"/>
          </w:tcPr>
          <w:p w:rsidR="000B42CA" w:rsidRDefault="000B42CA" w:rsidP="00C26B53">
            <w:pPr>
              <w:rPr>
                <w:rFonts w:cs="Times New Roman"/>
              </w:rPr>
            </w:pPr>
            <w:r>
              <w:rPr>
                <w:sz w:val="22"/>
                <w:szCs w:val="22"/>
              </w:rPr>
              <w:t>2011/12</w:t>
            </w:r>
          </w:p>
        </w:tc>
        <w:tc>
          <w:tcPr>
            <w:tcW w:w="2959" w:type="dxa"/>
          </w:tcPr>
          <w:p w:rsidR="000B42CA" w:rsidRPr="00AB4D4E" w:rsidRDefault="000B42CA" w:rsidP="00C26B53">
            <w:pPr>
              <w:rPr>
                <w:rFonts w:cs="Times New Roman"/>
              </w:rPr>
            </w:pPr>
            <w:r w:rsidRPr="00AB4D4E">
              <w:rPr>
                <w:sz w:val="22"/>
                <w:szCs w:val="22"/>
              </w:rPr>
              <w:t>Updated data (baseline period – 2010/11)</w:t>
            </w:r>
          </w:p>
        </w:tc>
      </w:tr>
    </w:tbl>
    <w:p w:rsidR="000B42CA" w:rsidRDefault="000B42CA">
      <w:pPr>
        <w:rPr>
          <w:rFonts w:cs="Times New Roman"/>
          <w:sz w:val="22"/>
          <w:szCs w:val="22"/>
        </w:rPr>
      </w:pPr>
    </w:p>
    <w:p w:rsidR="000B42CA" w:rsidRPr="00054EBE" w:rsidRDefault="000B42CA" w:rsidP="00054EBE">
      <w:pPr>
        <w:rPr>
          <w:sz w:val="22"/>
          <w:szCs w:val="22"/>
        </w:rPr>
      </w:pPr>
      <w:r w:rsidRPr="00054EBE">
        <w:rPr>
          <w:sz w:val="22"/>
          <w:szCs w:val="22"/>
        </w:rPr>
        <w:t>*Note</w:t>
      </w:r>
      <w:r>
        <w:rPr>
          <w:sz w:val="22"/>
          <w:szCs w:val="22"/>
        </w:rPr>
        <w:t xml:space="preserve"> (1.06)</w:t>
      </w:r>
      <w:r w:rsidRPr="00054EBE">
        <w:rPr>
          <w:sz w:val="22"/>
          <w:szCs w:val="22"/>
        </w:rPr>
        <w:t>: The baseline period has been amended since the November 2012 publication to reflect the fact that changes in the MHMDS and ASCAR data collections mean that it is not appropriate to compare data from 2011/12 onwards with 2010/11 data. This change will be incorporated into the next update of the ‘Summary technical specifications of Public Health indicators’ (Part 2).</w:t>
      </w:r>
    </w:p>
    <w:p w:rsidR="000B42CA" w:rsidRPr="00054EBE" w:rsidRDefault="000B42CA" w:rsidP="007C3B58">
      <w:pPr>
        <w:autoSpaceDE w:val="0"/>
        <w:autoSpaceDN w:val="0"/>
        <w:adjustRightInd w:val="0"/>
        <w:rPr>
          <w:rFonts w:cs="Times New Roman"/>
          <w:sz w:val="22"/>
          <w:szCs w:val="22"/>
        </w:rPr>
      </w:pPr>
    </w:p>
    <w:p w:rsidR="000B42CA" w:rsidRPr="00054EBE" w:rsidRDefault="000B42CA" w:rsidP="00DD6F55">
      <w:pPr>
        <w:rPr>
          <w:sz w:val="22"/>
          <w:szCs w:val="22"/>
        </w:rPr>
      </w:pPr>
      <w:r w:rsidRPr="00054EBE">
        <w:rPr>
          <w:sz w:val="22"/>
          <w:szCs w:val="22"/>
        </w:rPr>
        <w:t xml:space="preserve">**Note (2.04): The baseline period </w:t>
      </w:r>
      <w:r>
        <w:rPr>
          <w:sz w:val="22"/>
          <w:szCs w:val="22"/>
        </w:rPr>
        <w:t>for this indicator has not changed</w:t>
      </w:r>
      <w:r w:rsidRPr="00054EBE">
        <w:rPr>
          <w:sz w:val="22"/>
          <w:szCs w:val="22"/>
        </w:rPr>
        <w:t xml:space="preserve">, but the </w:t>
      </w:r>
      <w:r>
        <w:rPr>
          <w:sz w:val="22"/>
          <w:szCs w:val="22"/>
        </w:rPr>
        <w:t>data</w:t>
      </w:r>
      <w:r w:rsidRPr="00054EBE">
        <w:rPr>
          <w:sz w:val="22"/>
          <w:szCs w:val="22"/>
        </w:rPr>
        <w:t xml:space="preserve"> ha</w:t>
      </w:r>
      <w:r>
        <w:rPr>
          <w:sz w:val="22"/>
          <w:szCs w:val="22"/>
        </w:rPr>
        <w:t>ve</w:t>
      </w:r>
      <w:r w:rsidRPr="00054EBE">
        <w:rPr>
          <w:sz w:val="22"/>
          <w:szCs w:val="22"/>
        </w:rPr>
        <w:t xml:space="preserve"> been revised in line with the rebased population estimates following the 2011 Census.</w:t>
      </w:r>
    </w:p>
    <w:p w:rsidR="000B42CA" w:rsidRPr="00054EBE" w:rsidRDefault="000B42CA">
      <w:pPr>
        <w:rPr>
          <w:rFonts w:cs="Times New Roman"/>
          <w:sz w:val="22"/>
          <w:szCs w:val="22"/>
        </w:rPr>
      </w:pPr>
    </w:p>
    <w:p w:rsidR="000B42CA" w:rsidRPr="00054EBE" w:rsidRDefault="000B42CA" w:rsidP="00054EBE">
      <w:pPr>
        <w:rPr>
          <w:rFonts w:cs="Times New Roman"/>
          <w:sz w:val="22"/>
          <w:szCs w:val="22"/>
        </w:rPr>
      </w:pPr>
      <w:r w:rsidRPr="00054EBE">
        <w:rPr>
          <w:sz w:val="22"/>
          <w:szCs w:val="22"/>
        </w:rPr>
        <w:t xml:space="preserve">***Note (2.15): </w:t>
      </w:r>
      <w:r>
        <w:rPr>
          <w:sz w:val="22"/>
          <w:szCs w:val="22"/>
        </w:rPr>
        <w:t>The</w:t>
      </w:r>
      <w:r w:rsidRPr="00054EBE">
        <w:rPr>
          <w:sz w:val="22"/>
          <w:szCs w:val="22"/>
        </w:rPr>
        <w:t xml:space="preserve"> definition </w:t>
      </w:r>
      <w:r>
        <w:rPr>
          <w:sz w:val="22"/>
          <w:szCs w:val="22"/>
        </w:rPr>
        <w:t xml:space="preserve">of this indicator </w:t>
      </w:r>
      <w:r w:rsidRPr="00054EBE">
        <w:rPr>
          <w:sz w:val="22"/>
          <w:szCs w:val="22"/>
        </w:rPr>
        <w:t xml:space="preserve">was updated in April 2013.  The indicator will now be presented as two sub-indicators to present separately the rates of treatment completion for users of opiates and those for users of all other drugs. The outcomes for these two groups vary markedly as do the proportions of the two groups in treatment in each </w:t>
      </w:r>
      <w:r w:rsidRPr="00054EBE">
        <w:rPr>
          <w:sz w:val="22"/>
          <w:szCs w:val="22"/>
        </w:rPr>
        <w:lastRenderedPageBreak/>
        <w:t>local authority. Separation of the two groups will therefore enable more meaningful comparison to be made.</w:t>
      </w:r>
      <w:r w:rsidRPr="00054EBE">
        <w:rPr>
          <w:color w:val="000000"/>
          <w:sz w:val="22"/>
          <w:szCs w:val="22"/>
        </w:rPr>
        <w:t xml:space="preserve"> This change has been incorporated into the recent update to the </w:t>
      </w:r>
      <w:r w:rsidRPr="00054EBE">
        <w:rPr>
          <w:sz w:val="22"/>
          <w:szCs w:val="22"/>
        </w:rPr>
        <w:t>the ‘Summary technical specifications of Public Health indicators’ (Part 2):</w:t>
      </w:r>
    </w:p>
    <w:p w:rsidR="000B42CA" w:rsidRPr="00054EBE" w:rsidRDefault="000B42CA" w:rsidP="00054EBE">
      <w:pPr>
        <w:rPr>
          <w:rFonts w:cs="Times New Roman"/>
          <w:sz w:val="22"/>
          <w:szCs w:val="22"/>
        </w:rPr>
      </w:pPr>
    </w:p>
    <w:p w:rsidR="000B42CA" w:rsidRPr="00054EBE" w:rsidRDefault="00186412">
      <w:pPr>
        <w:rPr>
          <w:rFonts w:cs="Times New Roman"/>
          <w:sz w:val="22"/>
          <w:szCs w:val="22"/>
        </w:rPr>
      </w:pPr>
      <w:hyperlink r:id="rId6" w:history="1">
        <w:r w:rsidR="000B42CA" w:rsidRPr="00054EBE">
          <w:rPr>
            <w:rStyle w:val="Hyperlink"/>
            <w:sz w:val="22"/>
            <w:szCs w:val="22"/>
          </w:rPr>
          <w:t>https://www.gov.uk/government/publications/healthy-lives-healthy-people-improving-outcomes-and-supporting-transparency</w:t>
        </w:r>
      </w:hyperlink>
    </w:p>
    <w:p w:rsidR="000B42CA" w:rsidRPr="00054EBE" w:rsidRDefault="000B42CA">
      <w:pPr>
        <w:rPr>
          <w:rFonts w:cs="Times New Roman"/>
          <w:sz w:val="22"/>
          <w:szCs w:val="22"/>
        </w:rPr>
      </w:pPr>
    </w:p>
    <w:sectPr w:rsidR="000B42CA" w:rsidRPr="00054EBE" w:rsidSect="00995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01"/>
    <w:rsid w:val="00054EBE"/>
    <w:rsid w:val="00077601"/>
    <w:rsid w:val="00081707"/>
    <w:rsid w:val="000B42CA"/>
    <w:rsid w:val="000C508B"/>
    <w:rsid w:val="001033F7"/>
    <w:rsid w:val="00130891"/>
    <w:rsid w:val="00135AF0"/>
    <w:rsid w:val="00186412"/>
    <w:rsid w:val="001B29EA"/>
    <w:rsid w:val="001D2091"/>
    <w:rsid w:val="002D0A5E"/>
    <w:rsid w:val="0033749F"/>
    <w:rsid w:val="003521A4"/>
    <w:rsid w:val="003738DB"/>
    <w:rsid w:val="0037709A"/>
    <w:rsid w:val="003A3DEA"/>
    <w:rsid w:val="003B7F10"/>
    <w:rsid w:val="003E30A3"/>
    <w:rsid w:val="003F23E3"/>
    <w:rsid w:val="00412798"/>
    <w:rsid w:val="00424153"/>
    <w:rsid w:val="00457A3E"/>
    <w:rsid w:val="0046505A"/>
    <w:rsid w:val="004F4D5C"/>
    <w:rsid w:val="004F4DC3"/>
    <w:rsid w:val="005156CD"/>
    <w:rsid w:val="005173F1"/>
    <w:rsid w:val="00562D9E"/>
    <w:rsid w:val="00564797"/>
    <w:rsid w:val="00570479"/>
    <w:rsid w:val="005A6CD0"/>
    <w:rsid w:val="005D483C"/>
    <w:rsid w:val="005D54A4"/>
    <w:rsid w:val="00626C95"/>
    <w:rsid w:val="00632B19"/>
    <w:rsid w:val="0069698C"/>
    <w:rsid w:val="006A213D"/>
    <w:rsid w:val="006A27AA"/>
    <w:rsid w:val="006C4AE7"/>
    <w:rsid w:val="007232EB"/>
    <w:rsid w:val="007C3B58"/>
    <w:rsid w:val="007D148F"/>
    <w:rsid w:val="007F2DDA"/>
    <w:rsid w:val="0080263B"/>
    <w:rsid w:val="00826BE6"/>
    <w:rsid w:val="00861DD8"/>
    <w:rsid w:val="008C1AC5"/>
    <w:rsid w:val="008D114A"/>
    <w:rsid w:val="008F6DF1"/>
    <w:rsid w:val="00956FB6"/>
    <w:rsid w:val="00995E9F"/>
    <w:rsid w:val="009C06CC"/>
    <w:rsid w:val="00A0637D"/>
    <w:rsid w:val="00A61BB8"/>
    <w:rsid w:val="00A97E13"/>
    <w:rsid w:val="00AA66DE"/>
    <w:rsid w:val="00AB03AD"/>
    <w:rsid w:val="00AB49A0"/>
    <w:rsid w:val="00AB4D4E"/>
    <w:rsid w:val="00B3068B"/>
    <w:rsid w:val="00B3309D"/>
    <w:rsid w:val="00B4498A"/>
    <w:rsid w:val="00B602C0"/>
    <w:rsid w:val="00B73022"/>
    <w:rsid w:val="00B938E5"/>
    <w:rsid w:val="00BF4F28"/>
    <w:rsid w:val="00C26B53"/>
    <w:rsid w:val="00C63334"/>
    <w:rsid w:val="00C904F9"/>
    <w:rsid w:val="00CD2B42"/>
    <w:rsid w:val="00D016A6"/>
    <w:rsid w:val="00D107BD"/>
    <w:rsid w:val="00DD6F55"/>
    <w:rsid w:val="00DE5A40"/>
    <w:rsid w:val="00E06785"/>
    <w:rsid w:val="00E52FD8"/>
    <w:rsid w:val="00E62BBE"/>
    <w:rsid w:val="00F269E9"/>
    <w:rsid w:val="00F320FF"/>
    <w:rsid w:val="00FA3914"/>
    <w:rsid w:val="00FF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1"/>
    <w:rPr>
      <w:rFonts w:ascii="Arial" w:eastAsia="Times New Roman" w:hAnsi="Arial" w:cs="Arial"/>
      <w:sz w:val="24"/>
      <w:szCs w:val="24"/>
    </w:rPr>
  </w:style>
  <w:style w:type="paragraph" w:styleId="Heading3">
    <w:name w:val="heading 3"/>
    <w:basedOn w:val="Normal"/>
    <w:link w:val="Heading3Char"/>
    <w:uiPriority w:val="99"/>
    <w:qFormat/>
    <w:rsid w:val="00054EBE"/>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60D"/>
    <w:rPr>
      <w:rFonts w:asciiTheme="majorHAnsi" w:eastAsiaTheme="majorEastAsia" w:hAnsiTheme="majorHAnsi" w:cstheme="majorBidi"/>
      <w:b/>
      <w:bCs/>
      <w:sz w:val="26"/>
      <w:szCs w:val="26"/>
    </w:rPr>
  </w:style>
  <w:style w:type="table" w:styleId="TableGrid">
    <w:name w:val="Table Grid"/>
    <w:basedOn w:val="TableNormal"/>
    <w:uiPriority w:val="99"/>
    <w:rsid w:val="000776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8E5"/>
    <w:rPr>
      <w:color w:val="0000FF"/>
      <w:u w:val="single"/>
    </w:rPr>
  </w:style>
  <w:style w:type="paragraph" w:customStyle="1" w:styleId="Pa6">
    <w:name w:val="Pa6"/>
    <w:basedOn w:val="Normal"/>
    <w:next w:val="Normal"/>
    <w:uiPriority w:val="99"/>
    <w:rsid w:val="007232EB"/>
    <w:pPr>
      <w:autoSpaceDE w:val="0"/>
      <w:autoSpaceDN w:val="0"/>
      <w:adjustRightInd w:val="0"/>
      <w:spacing w:line="241" w:lineRule="atLeast"/>
    </w:pPr>
    <w:rPr>
      <w:rFonts w:ascii="Syntax" w:eastAsia="Calibri" w:hAnsi="Syntax" w:cs="Synta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1"/>
    <w:rPr>
      <w:rFonts w:ascii="Arial" w:eastAsia="Times New Roman" w:hAnsi="Arial" w:cs="Arial"/>
      <w:sz w:val="24"/>
      <w:szCs w:val="24"/>
    </w:rPr>
  </w:style>
  <w:style w:type="paragraph" w:styleId="Heading3">
    <w:name w:val="heading 3"/>
    <w:basedOn w:val="Normal"/>
    <w:link w:val="Heading3Char"/>
    <w:uiPriority w:val="99"/>
    <w:qFormat/>
    <w:rsid w:val="00054EBE"/>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60D"/>
    <w:rPr>
      <w:rFonts w:asciiTheme="majorHAnsi" w:eastAsiaTheme="majorEastAsia" w:hAnsiTheme="majorHAnsi" w:cstheme="majorBidi"/>
      <w:b/>
      <w:bCs/>
      <w:sz w:val="26"/>
      <w:szCs w:val="26"/>
    </w:rPr>
  </w:style>
  <w:style w:type="table" w:styleId="TableGrid">
    <w:name w:val="Table Grid"/>
    <w:basedOn w:val="TableNormal"/>
    <w:uiPriority w:val="99"/>
    <w:rsid w:val="000776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8E5"/>
    <w:rPr>
      <w:color w:val="0000FF"/>
      <w:u w:val="single"/>
    </w:rPr>
  </w:style>
  <w:style w:type="paragraph" w:customStyle="1" w:styleId="Pa6">
    <w:name w:val="Pa6"/>
    <w:basedOn w:val="Normal"/>
    <w:next w:val="Normal"/>
    <w:uiPriority w:val="99"/>
    <w:rsid w:val="007232EB"/>
    <w:pPr>
      <w:autoSpaceDE w:val="0"/>
      <w:autoSpaceDN w:val="0"/>
      <w:adjustRightInd w:val="0"/>
      <w:spacing w:line="241" w:lineRule="atLeast"/>
    </w:pPr>
    <w:rPr>
      <w:rFonts w:ascii="Syntax" w:eastAsia="Calibri" w:hAnsi="Syntax" w:cs="Synta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2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healthy-lives-healthy-people-improving-outcomes-and-supporting-transparency" TargetMode="External"/><Relationship Id="rId5" Type="http://schemas.openxmlformats.org/officeDocument/2006/relationships/hyperlink" Target="file:///\\dh.ois.net\dhdatadfs\London\SKH\NW013\Chmu\Current%20work\Public%20Health%20Outcomes%20Framework\Development%20work%20-%20to%20Autumn%202012\Autumn%202012%20publication\www.phoutcome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Data included in the PHOF update publication – Tuesday 5 February 2013</vt:lpstr>
    </vt:vector>
  </TitlesOfParts>
  <Company>DH</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included in the PHOF update publication – Tuesday 5 February 2013</dc:title>
  <dc:subject/>
  <dc:creator>Clare Jones</dc:creator>
  <cp:keywords/>
  <dc:description/>
  <cp:lastModifiedBy>Katie Tither</cp:lastModifiedBy>
  <cp:revision>2</cp:revision>
  <dcterms:created xsi:type="dcterms:W3CDTF">2013-05-07T13:27:00Z</dcterms:created>
  <dcterms:modified xsi:type="dcterms:W3CDTF">2013-05-07T13:27:00Z</dcterms:modified>
</cp:coreProperties>
</file>