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CE60E" w14:textId="614F816C" w:rsidR="007C1F93" w:rsidRDefault="00D464BE" w:rsidP="00061059">
      <w:pPr>
        <w:rPr>
          <w:b/>
        </w:rPr>
      </w:pPr>
      <w:bookmarkStart w:id="0" w:name="_GoBack"/>
      <w:bookmarkEnd w:id="0"/>
      <w:r>
        <w:rPr>
          <w:noProof/>
          <w:lang w:eastAsia="en-GB"/>
        </w:rPr>
        <w:drawing>
          <wp:inline distT="0" distB="0" distL="0" distR="0" wp14:anchorId="402A8086" wp14:editId="681AA597">
            <wp:extent cx="1845945" cy="1088390"/>
            <wp:effectExtent l="0" t="0" r="1905" b="0"/>
            <wp:docPr id="4" name="Picture 4" descr="http://www.dcsf.gov.uk/system/style/new/img/DfE_Smal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csf.gov.uk/system/style/new/img/DfE_Small_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5945" cy="1088390"/>
                    </a:xfrm>
                    <a:prstGeom prst="rect">
                      <a:avLst/>
                    </a:prstGeom>
                    <a:noFill/>
                    <a:ln>
                      <a:noFill/>
                    </a:ln>
                  </pic:spPr>
                </pic:pic>
              </a:graphicData>
            </a:graphic>
          </wp:inline>
        </w:drawing>
      </w:r>
    </w:p>
    <w:p w14:paraId="4224F7D5" w14:textId="77777777" w:rsidR="00D464BE" w:rsidRDefault="00D464BE" w:rsidP="007C1F93">
      <w:pPr>
        <w:jc w:val="center"/>
        <w:rPr>
          <w:b/>
          <w:sz w:val="28"/>
          <w:szCs w:val="28"/>
        </w:rPr>
      </w:pPr>
    </w:p>
    <w:p w14:paraId="1F4479ED" w14:textId="77777777" w:rsidR="00D464BE" w:rsidRDefault="00D464BE" w:rsidP="007C1F93">
      <w:pPr>
        <w:jc w:val="center"/>
        <w:rPr>
          <w:b/>
          <w:sz w:val="28"/>
          <w:szCs w:val="28"/>
        </w:rPr>
      </w:pPr>
    </w:p>
    <w:p w14:paraId="2EE8A226" w14:textId="77777777" w:rsidR="007C1F93" w:rsidRPr="00E54E82" w:rsidRDefault="007C1F93" w:rsidP="007C1F93">
      <w:pPr>
        <w:jc w:val="center"/>
        <w:rPr>
          <w:b/>
          <w:sz w:val="28"/>
          <w:szCs w:val="28"/>
        </w:rPr>
      </w:pPr>
      <w:r w:rsidRPr="00E54E82">
        <w:rPr>
          <w:b/>
          <w:sz w:val="28"/>
          <w:szCs w:val="28"/>
        </w:rPr>
        <w:t>Policy Paper for Consultation –</w:t>
      </w:r>
    </w:p>
    <w:p w14:paraId="2DA15CBB" w14:textId="77777777" w:rsidR="007C1F93" w:rsidRDefault="007C1F93" w:rsidP="007C1F93">
      <w:pPr>
        <w:jc w:val="center"/>
        <w:rPr>
          <w:b/>
          <w:sz w:val="28"/>
          <w:szCs w:val="28"/>
        </w:rPr>
      </w:pPr>
    </w:p>
    <w:p w14:paraId="226F2C01" w14:textId="6653ED12" w:rsidR="007C1F93" w:rsidRDefault="007C1F93" w:rsidP="007C1F93">
      <w:pPr>
        <w:jc w:val="center"/>
        <w:rPr>
          <w:b/>
          <w:sz w:val="28"/>
          <w:szCs w:val="28"/>
        </w:rPr>
      </w:pPr>
      <w:r>
        <w:rPr>
          <w:b/>
          <w:sz w:val="28"/>
          <w:szCs w:val="28"/>
        </w:rPr>
        <w:t xml:space="preserve">Government proposals to reform </w:t>
      </w:r>
      <w:r w:rsidR="00357733">
        <w:rPr>
          <w:b/>
          <w:sz w:val="28"/>
          <w:szCs w:val="28"/>
        </w:rPr>
        <w:t xml:space="preserve">vocational </w:t>
      </w:r>
      <w:r>
        <w:rPr>
          <w:b/>
          <w:sz w:val="28"/>
          <w:szCs w:val="28"/>
        </w:rPr>
        <w:t>qualification</w:t>
      </w:r>
      <w:r w:rsidR="00357733">
        <w:rPr>
          <w:b/>
          <w:sz w:val="28"/>
          <w:szCs w:val="28"/>
        </w:rPr>
        <w:t>s</w:t>
      </w:r>
    </w:p>
    <w:p w14:paraId="1DF7F370" w14:textId="13C888B9" w:rsidR="007C1F93" w:rsidRPr="00E54E82" w:rsidRDefault="001B6C93" w:rsidP="007C1F93">
      <w:pPr>
        <w:jc w:val="center"/>
        <w:rPr>
          <w:b/>
          <w:sz w:val="28"/>
          <w:szCs w:val="28"/>
        </w:rPr>
      </w:pPr>
      <w:r>
        <w:rPr>
          <w:b/>
          <w:sz w:val="28"/>
          <w:szCs w:val="28"/>
        </w:rPr>
        <w:t xml:space="preserve">for </w:t>
      </w:r>
      <w:r w:rsidR="00B444C1">
        <w:rPr>
          <w:b/>
          <w:sz w:val="28"/>
          <w:szCs w:val="28"/>
        </w:rPr>
        <w:t>16-19 year olds</w:t>
      </w:r>
    </w:p>
    <w:p w14:paraId="4C42D7B1" w14:textId="77777777" w:rsidR="007C1F93" w:rsidRPr="00BB2803" w:rsidRDefault="007C1F93" w:rsidP="007C1F93">
      <w:pPr>
        <w:rPr>
          <w:szCs w:val="24"/>
        </w:rPr>
      </w:pPr>
    </w:p>
    <w:p w14:paraId="3B59907F" w14:textId="77777777" w:rsidR="007C1F93" w:rsidRPr="00A20DC4" w:rsidRDefault="007C1F93" w:rsidP="007C1F93">
      <w:pPr>
        <w:rPr>
          <w:b/>
          <w:sz w:val="28"/>
          <w:szCs w:val="28"/>
        </w:rPr>
      </w:pPr>
      <w:r w:rsidRPr="00A20DC4">
        <w:rPr>
          <w:b/>
          <w:sz w:val="28"/>
          <w:szCs w:val="28"/>
        </w:rPr>
        <w:t>Introduction</w:t>
      </w:r>
    </w:p>
    <w:p w14:paraId="573FB2FA" w14:textId="77777777" w:rsidR="007C1F93" w:rsidRDefault="007C1F93" w:rsidP="007C1F93">
      <w:pPr>
        <w:rPr>
          <w:szCs w:val="24"/>
        </w:rPr>
      </w:pPr>
    </w:p>
    <w:p w14:paraId="41C20D18" w14:textId="6C6B0E19" w:rsidR="007C1F93" w:rsidRPr="00AE47A1" w:rsidRDefault="007C1F93" w:rsidP="00B942C0">
      <w:pPr>
        <w:rPr>
          <w:szCs w:val="24"/>
        </w:rPr>
      </w:pPr>
      <w:r w:rsidRPr="00AE47A1">
        <w:rPr>
          <w:szCs w:val="24"/>
        </w:rPr>
        <w:t xml:space="preserve">The purpose of this consultation is to seek views on proposals to reform </w:t>
      </w:r>
      <w:r w:rsidR="00BD6814">
        <w:rPr>
          <w:szCs w:val="24"/>
        </w:rPr>
        <w:t xml:space="preserve">vocational </w:t>
      </w:r>
      <w:r w:rsidR="001B6C93">
        <w:rPr>
          <w:szCs w:val="24"/>
        </w:rPr>
        <w:t>qualifications</w:t>
      </w:r>
      <w:r w:rsidRPr="00AE47A1">
        <w:rPr>
          <w:szCs w:val="24"/>
        </w:rPr>
        <w:t xml:space="preserve"> for 16-19 year olds.</w:t>
      </w:r>
    </w:p>
    <w:p w14:paraId="4C7D1740" w14:textId="77777777" w:rsidR="007C1F93" w:rsidRDefault="007C1F93" w:rsidP="007C1F93">
      <w:pPr>
        <w:rPr>
          <w:szCs w:val="24"/>
        </w:rPr>
      </w:pPr>
    </w:p>
    <w:p w14:paraId="75F1E1AA" w14:textId="77777777" w:rsidR="007C1F93" w:rsidRPr="00AE47A1" w:rsidRDefault="007C1F93" w:rsidP="00B942C0">
      <w:pPr>
        <w:rPr>
          <w:szCs w:val="24"/>
        </w:rPr>
      </w:pPr>
      <w:r w:rsidRPr="00AE47A1">
        <w:rPr>
          <w:szCs w:val="24"/>
        </w:rPr>
        <w:t>The consultation seeks views on proposals to:</w:t>
      </w:r>
    </w:p>
    <w:p w14:paraId="5B6B3AC8" w14:textId="77777777" w:rsidR="007C1F93" w:rsidRDefault="007C1F93" w:rsidP="007C1F93">
      <w:pPr>
        <w:rPr>
          <w:szCs w:val="24"/>
        </w:rPr>
      </w:pPr>
    </w:p>
    <w:p w14:paraId="3BBAE672" w14:textId="6208CEC4" w:rsidR="007C1F93" w:rsidRDefault="007C1F93" w:rsidP="007C1F93">
      <w:pPr>
        <w:pStyle w:val="ListParagraph"/>
        <w:widowControl/>
        <w:numPr>
          <w:ilvl w:val="0"/>
          <w:numId w:val="14"/>
        </w:numPr>
        <w:overflowPunct/>
        <w:autoSpaceDE/>
        <w:autoSpaceDN/>
        <w:adjustRightInd/>
        <w:spacing w:after="120"/>
        <w:ind w:left="709" w:hanging="352"/>
        <w:contextualSpacing w:val="0"/>
        <w:textAlignment w:val="auto"/>
        <w:rPr>
          <w:rFonts w:eastAsia="Calibri" w:cs="Arial"/>
          <w:szCs w:val="24"/>
        </w:rPr>
      </w:pPr>
      <w:r>
        <w:rPr>
          <w:rFonts w:eastAsia="Calibri" w:cs="Arial"/>
          <w:szCs w:val="24"/>
        </w:rPr>
        <w:t>Establish a</w:t>
      </w:r>
      <w:r w:rsidRPr="00995AA6">
        <w:rPr>
          <w:rFonts w:eastAsia="Calibri" w:cs="Arial"/>
          <w:szCs w:val="24"/>
        </w:rPr>
        <w:t xml:space="preserve"> process and set of characteristics by which </w:t>
      </w:r>
      <w:r w:rsidR="00BD6814">
        <w:rPr>
          <w:rFonts w:eastAsia="Calibri" w:cs="Arial"/>
          <w:szCs w:val="24"/>
        </w:rPr>
        <w:t xml:space="preserve">vocational </w:t>
      </w:r>
      <w:r w:rsidRPr="00995AA6">
        <w:rPr>
          <w:rFonts w:eastAsia="Calibri" w:cs="Arial"/>
          <w:szCs w:val="24"/>
        </w:rPr>
        <w:t xml:space="preserve">qualifications could be </w:t>
      </w:r>
      <w:r>
        <w:rPr>
          <w:rFonts w:eastAsia="Calibri" w:cs="Arial"/>
          <w:szCs w:val="24"/>
        </w:rPr>
        <w:t>judged</w:t>
      </w:r>
      <w:r w:rsidRPr="00995AA6">
        <w:rPr>
          <w:rFonts w:eastAsia="Calibri" w:cs="Arial"/>
          <w:szCs w:val="24"/>
        </w:rPr>
        <w:t xml:space="preserve"> for inclusion in </w:t>
      </w:r>
      <w:r>
        <w:rPr>
          <w:rFonts w:eastAsia="Calibri" w:cs="Arial"/>
          <w:szCs w:val="24"/>
        </w:rPr>
        <w:t>16-19</w:t>
      </w:r>
      <w:r w:rsidRPr="00995AA6">
        <w:rPr>
          <w:rFonts w:eastAsia="Calibri" w:cs="Arial"/>
          <w:szCs w:val="24"/>
        </w:rPr>
        <w:t xml:space="preserve"> performance tables</w:t>
      </w:r>
      <w:r>
        <w:rPr>
          <w:rFonts w:eastAsia="Calibri" w:cs="Arial"/>
          <w:szCs w:val="24"/>
        </w:rPr>
        <w:t>;</w:t>
      </w:r>
      <w:r w:rsidRPr="00995AA6">
        <w:rPr>
          <w:rFonts w:eastAsia="Calibri" w:cs="Arial"/>
          <w:szCs w:val="24"/>
        </w:rPr>
        <w:t xml:space="preserve"> </w:t>
      </w:r>
    </w:p>
    <w:p w14:paraId="0C276A73" w14:textId="318C978C" w:rsidR="007C1F93" w:rsidRPr="00C9294B" w:rsidRDefault="007C1F93" w:rsidP="007C1F93">
      <w:pPr>
        <w:pStyle w:val="ListParagraph"/>
        <w:widowControl/>
        <w:numPr>
          <w:ilvl w:val="0"/>
          <w:numId w:val="14"/>
        </w:numPr>
        <w:overflowPunct/>
        <w:autoSpaceDE/>
        <w:autoSpaceDN/>
        <w:adjustRightInd/>
        <w:spacing w:after="120"/>
        <w:ind w:left="709" w:hanging="352"/>
        <w:contextualSpacing w:val="0"/>
        <w:textAlignment w:val="auto"/>
        <w:rPr>
          <w:rFonts w:eastAsia="Calibri" w:cs="Arial"/>
          <w:szCs w:val="24"/>
        </w:rPr>
      </w:pPr>
      <w:r>
        <w:rPr>
          <w:rFonts w:eastAsia="Calibri" w:cs="Arial"/>
          <w:szCs w:val="24"/>
        </w:rPr>
        <w:t>Introduce two</w:t>
      </w:r>
      <w:r w:rsidRPr="00B206C3">
        <w:rPr>
          <w:rFonts w:eastAsia="Calibri" w:cs="Arial"/>
          <w:szCs w:val="24"/>
        </w:rPr>
        <w:t xml:space="preserve"> </w:t>
      </w:r>
      <w:r>
        <w:rPr>
          <w:rFonts w:eastAsia="Calibri" w:cs="Arial"/>
          <w:szCs w:val="24"/>
        </w:rPr>
        <w:t>separate</w:t>
      </w:r>
      <w:r w:rsidRPr="00B206C3">
        <w:rPr>
          <w:rFonts w:eastAsia="Calibri" w:cs="Arial"/>
          <w:szCs w:val="24"/>
        </w:rPr>
        <w:t xml:space="preserve"> categories of vocational qualification</w:t>
      </w:r>
      <w:r>
        <w:rPr>
          <w:rFonts w:eastAsia="Calibri" w:cs="Arial"/>
          <w:szCs w:val="24"/>
        </w:rPr>
        <w:t xml:space="preserve"> – </w:t>
      </w:r>
      <w:r w:rsidRPr="00B206C3">
        <w:rPr>
          <w:rFonts w:eastAsia="Calibri" w:cs="Arial"/>
          <w:szCs w:val="24"/>
        </w:rPr>
        <w:t>‘</w:t>
      </w:r>
      <w:r w:rsidR="005D20F2">
        <w:rPr>
          <w:rFonts w:eastAsia="Calibri" w:cs="Arial"/>
          <w:szCs w:val="24"/>
        </w:rPr>
        <w:t>Applied G</w:t>
      </w:r>
      <w:r w:rsidRPr="00B206C3">
        <w:rPr>
          <w:rFonts w:eastAsia="Calibri" w:cs="Arial"/>
          <w:szCs w:val="24"/>
        </w:rPr>
        <w:t>e</w:t>
      </w:r>
      <w:r w:rsidR="005D20F2">
        <w:rPr>
          <w:rFonts w:eastAsia="Calibri" w:cs="Arial"/>
          <w:szCs w:val="24"/>
        </w:rPr>
        <w:t>neral’ and ‘O</w:t>
      </w:r>
      <w:r w:rsidRPr="00B206C3">
        <w:rPr>
          <w:rFonts w:eastAsia="Calibri" w:cs="Arial"/>
          <w:szCs w:val="24"/>
        </w:rPr>
        <w:t>ccupation</w:t>
      </w:r>
      <w:r>
        <w:rPr>
          <w:rFonts w:eastAsia="Calibri" w:cs="Arial"/>
          <w:szCs w:val="24"/>
        </w:rPr>
        <w:t xml:space="preserve">al’, in addition to academic qualifications; </w:t>
      </w:r>
      <w:r w:rsidR="00BD6814">
        <w:rPr>
          <w:rFonts w:eastAsia="Calibri" w:cs="Arial"/>
          <w:szCs w:val="24"/>
        </w:rPr>
        <w:t>and</w:t>
      </w:r>
    </w:p>
    <w:p w14:paraId="5F2B78BF" w14:textId="588B1E3D" w:rsidR="007C1F93" w:rsidRDefault="005D20F2" w:rsidP="007C1F93">
      <w:pPr>
        <w:pStyle w:val="ListParagraph"/>
        <w:widowControl/>
        <w:numPr>
          <w:ilvl w:val="0"/>
          <w:numId w:val="14"/>
        </w:numPr>
        <w:overflowPunct/>
        <w:autoSpaceDE/>
        <w:autoSpaceDN/>
        <w:adjustRightInd/>
        <w:spacing w:after="240"/>
        <w:ind w:left="709" w:hanging="352"/>
        <w:contextualSpacing w:val="0"/>
        <w:textAlignment w:val="auto"/>
        <w:rPr>
          <w:rFonts w:eastAsia="Calibri" w:cs="Arial"/>
          <w:szCs w:val="24"/>
        </w:rPr>
      </w:pPr>
      <w:r>
        <w:rPr>
          <w:rFonts w:eastAsia="Calibri" w:cs="Arial"/>
          <w:szCs w:val="24"/>
        </w:rPr>
        <w:t>Only include Applied General and O</w:t>
      </w:r>
      <w:r w:rsidR="00BD6814">
        <w:rPr>
          <w:rFonts w:eastAsia="Calibri" w:cs="Arial"/>
          <w:szCs w:val="24"/>
        </w:rPr>
        <w:t xml:space="preserve">ccupational qualifications that meet pre-defined </w:t>
      </w:r>
      <w:r w:rsidR="004E7AA0">
        <w:rPr>
          <w:rFonts w:eastAsia="Calibri" w:cs="Arial"/>
          <w:szCs w:val="24"/>
        </w:rPr>
        <w:t>standards</w:t>
      </w:r>
      <w:r w:rsidR="00BD6814">
        <w:rPr>
          <w:rFonts w:eastAsia="Calibri" w:cs="Arial"/>
          <w:szCs w:val="24"/>
        </w:rPr>
        <w:t xml:space="preserve"> in future performance tables. </w:t>
      </w:r>
    </w:p>
    <w:p w14:paraId="21C40F5B" w14:textId="77777777" w:rsidR="007C1F93" w:rsidRDefault="007C1F93" w:rsidP="00B942C0">
      <w:pPr>
        <w:pStyle w:val="ListParagraph"/>
        <w:widowControl/>
        <w:overflowPunct/>
        <w:autoSpaceDE/>
        <w:autoSpaceDN/>
        <w:adjustRightInd/>
        <w:spacing w:after="240"/>
        <w:ind w:left="0"/>
        <w:contextualSpacing w:val="0"/>
        <w:textAlignment w:val="auto"/>
        <w:rPr>
          <w:rFonts w:eastAsia="Calibri" w:cs="Arial"/>
          <w:szCs w:val="24"/>
        </w:rPr>
      </w:pPr>
      <w:r>
        <w:rPr>
          <w:bCs/>
          <w:szCs w:val="24"/>
        </w:rPr>
        <w:t>It</w:t>
      </w:r>
      <w:r>
        <w:rPr>
          <w:rFonts w:eastAsia="Calibri" w:cs="Arial"/>
          <w:szCs w:val="24"/>
        </w:rPr>
        <w:t xml:space="preserve"> also seeks views on whether the Government should fund learners who are over 19 to take vocational qualifications that meet the new characteristics but do not conform to the Qualifications and Credit Framework (QCF). </w:t>
      </w:r>
    </w:p>
    <w:p w14:paraId="798DD2F9" w14:textId="44970EDA" w:rsidR="007C1F93" w:rsidRDefault="007C1F93" w:rsidP="00B942C0">
      <w:pPr>
        <w:pStyle w:val="ListParagraph"/>
        <w:widowControl/>
        <w:overflowPunct/>
        <w:autoSpaceDE/>
        <w:autoSpaceDN/>
        <w:adjustRightInd/>
        <w:spacing w:after="240"/>
        <w:ind w:left="0"/>
        <w:contextualSpacing w:val="0"/>
        <w:textAlignment w:val="auto"/>
        <w:rPr>
          <w:rFonts w:eastAsia="Calibri" w:cs="Arial"/>
          <w:szCs w:val="24"/>
        </w:rPr>
      </w:pPr>
      <w:r>
        <w:rPr>
          <w:bCs/>
          <w:szCs w:val="24"/>
        </w:rPr>
        <w:t>Qualifications at Levels 1 and 2 are outside the scope of this consultation.</w:t>
      </w:r>
    </w:p>
    <w:p w14:paraId="50E38E25" w14:textId="07F3D208" w:rsidR="007C1F93" w:rsidRPr="00AE47A1" w:rsidRDefault="00D464BE" w:rsidP="007C1F93">
      <w:pPr>
        <w:pStyle w:val="ListParagraph"/>
        <w:widowControl/>
        <w:overflowPunct/>
        <w:autoSpaceDE/>
        <w:autoSpaceDN/>
        <w:adjustRightInd/>
        <w:spacing w:after="240"/>
        <w:ind w:left="0"/>
        <w:contextualSpacing w:val="0"/>
        <w:textAlignment w:val="auto"/>
        <w:rPr>
          <w:b/>
          <w:sz w:val="28"/>
          <w:szCs w:val="28"/>
        </w:rPr>
      </w:pPr>
      <w:r>
        <w:rPr>
          <w:b/>
          <w:sz w:val="28"/>
          <w:szCs w:val="28"/>
        </w:rPr>
        <w:br/>
      </w:r>
      <w:r w:rsidR="007C1F93" w:rsidRPr="00AE47A1">
        <w:rPr>
          <w:b/>
          <w:sz w:val="28"/>
          <w:szCs w:val="28"/>
        </w:rPr>
        <w:t>Context</w:t>
      </w:r>
    </w:p>
    <w:p w14:paraId="44D10CAA" w14:textId="77777777" w:rsidR="007C1F93" w:rsidRPr="00AE47A1" w:rsidRDefault="007C1F93" w:rsidP="00B942C0">
      <w:pPr>
        <w:pStyle w:val="ListParagraph"/>
        <w:widowControl/>
        <w:overflowPunct/>
        <w:autoSpaceDE/>
        <w:autoSpaceDN/>
        <w:adjustRightInd/>
        <w:spacing w:after="240"/>
        <w:ind w:left="0"/>
        <w:contextualSpacing w:val="0"/>
        <w:textAlignment w:val="auto"/>
        <w:rPr>
          <w:b/>
        </w:rPr>
      </w:pPr>
      <w:r w:rsidRPr="00AE47A1">
        <w:rPr>
          <w:b/>
        </w:rPr>
        <w:t>The Wolf Review of Vocational Education</w:t>
      </w:r>
    </w:p>
    <w:p w14:paraId="22DFACD4" w14:textId="77777777" w:rsidR="007C1F93" w:rsidRPr="00AE47A1" w:rsidRDefault="007C1F93" w:rsidP="00110E62">
      <w:pPr>
        <w:pStyle w:val="ListParagraph"/>
        <w:overflowPunct/>
        <w:autoSpaceDE/>
        <w:spacing w:after="240"/>
        <w:ind w:left="0"/>
        <w:rPr>
          <w:szCs w:val="24"/>
        </w:rPr>
      </w:pPr>
      <w:r w:rsidRPr="00AE47A1">
        <w:rPr>
          <w:szCs w:val="24"/>
        </w:rPr>
        <w:t>The proposed reform of 16-19 vocational qualifications supports wider changes to funding and curriculum provision for this age group arising from Professor Alison Wolf’s Review of Vocational Education</w:t>
      </w:r>
      <w:r>
        <w:rPr>
          <w:rStyle w:val="FootnoteReference"/>
          <w:szCs w:val="24"/>
        </w:rPr>
        <w:footnoteReference w:id="1"/>
      </w:r>
      <w:r w:rsidRPr="00AE47A1">
        <w:rPr>
          <w:szCs w:val="24"/>
        </w:rPr>
        <w:t>. The Review found that the current practice of funding 16</w:t>
      </w:r>
      <w:r>
        <w:rPr>
          <w:szCs w:val="24"/>
        </w:rPr>
        <w:t>-19</w:t>
      </w:r>
      <w:r w:rsidRPr="00AE47A1">
        <w:rPr>
          <w:szCs w:val="24"/>
        </w:rPr>
        <w:t xml:space="preserve"> education on the basis of ‘qualifications passed’ discouraged institutions from investing in more challenging vocational qualifications and work-based learning</w:t>
      </w:r>
      <w:r>
        <w:rPr>
          <w:szCs w:val="24"/>
        </w:rPr>
        <w:t>, including work experience</w:t>
      </w:r>
      <w:r w:rsidRPr="00AE47A1">
        <w:rPr>
          <w:szCs w:val="24"/>
        </w:rPr>
        <w:t>. </w:t>
      </w:r>
    </w:p>
    <w:p w14:paraId="79F5F709" w14:textId="77777777" w:rsidR="007C1F93" w:rsidRPr="00AE47A1" w:rsidRDefault="007C1F93" w:rsidP="00B942C0">
      <w:pPr>
        <w:pStyle w:val="ListParagraph"/>
        <w:overflowPunct/>
        <w:autoSpaceDE/>
        <w:spacing w:after="240"/>
        <w:ind w:left="0"/>
        <w:rPr>
          <w:szCs w:val="24"/>
        </w:rPr>
      </w:pPr>
    </w:p>
    <w:p w14:paraId="5508BD86" w14:textId="2ED01A76" w:rsidR="00D20CE7" w:rsidRDefault="007C1F93" w:rsidP="00D20CE7">
      <w:pPr>
        <w:pStyle w:val="ListParagraph"/>
        <w:overflowPunct/>
        <w:autoSpaceDE/>
        <w:spacing w:after="240"/>
        <w:ind w:left="0"/>
        <w:rPr>
          <w:szCs w:val="24"/>
        </w:rPr>
      </w:pPr>
      <w:r w:rsidRPr="00AE47A1">
        <w:rPr>
          <w:szCs w:val="24"/>
        </w:rPr>
        <w:t>As a result, it was announced last July</w:t>
      </w:r>
      <w:r w:rsidR="001F17E4" w:rsidRPr="001F17E4">
        <w:rPr>
          <w:szCs w:val="24"/>
        </w:rPr>
        <w:t xml:space="preserve"> </w:t>
      </w:r>
      <w:r w:rsidR="001F17E4" w:rsidRPr="00AE47A1">
        <w:rPr>
          <w:szCs w:val="24"/>
        </w:rPr>
        <w:t xml:space="preserve">that from September 2012 all 16-19 provision </w:t>
      </w:r>
      <w:r w:rsidR="001F17E4" w:rsidRPr="00AE47A1">
        <w:rPr>
          <w:szCs w:val="24"/>
        </w:rPr>
        <w:lastRenderedPageBreak/>
        <w:t>w</w:t>
      </w:r>
      <w:r w:rsidR="001F17E4">
        <w:rPr>
          <w:szCs w:val="24"/>
        </w:rPr>
        <w:t xml:space="preserve">ould </w:t>
      </w:r>
      <w:r w:rsidR="001F17E4" w:rsidRPr="00365CF7">
        <w:rPr>
          <w:szCs w:val="24"/>
        </w:rPr>
        <w:t>transition to a ‘per student’ basis for funding</w:t>
      </w:r>
      <w:r w:rsidR="001F17E4">
        <w:rPr>
          <w:rStyle w:val="FootnoteReference"/>
          <w:szCs w:val="24"/>
        </w:rPr>
        <w:footnoteReference w:id="2"/>
      </w:r>
      <w:r w:rsidR="001F17E4">
        <w:rPr>
          <w:szCs w:val="24"/>
        </w:rPr>
        <w:t>.</w:t>
      </w:r>
      <w:r w:rsidRPr="00AE47A1">
        <w:rPr>
          <w:szCs w:val="24"/>
        </w:rPr>
        <w:t xml:space="preserve"> </w:t>
      </w:r>
      <w:r w:rsidRPr="00365CF7">
        <w:rPr>
          <w:szCs w:val="24"/>
        </w:rPr>
        <w:t>From September 2013</w:t>
      </w:r>
      <w:r>
        <w:rPr>
          <w:szCs w:val="24"/>
        </w:rPr>
        <w:t>,</w:t>
      </w:r>
      <w:r w:rsidRPr="00365CF7">
        <w:rPr>
          <w:szCs w:val="24"/>
        </w:rPr>
        <w:t xml:space="preserve"> all students will be offered a 16-19 Study Programme that reflects their ambitions and prior attainment. </w:t>
      </w:r>
    </w:p>
    <w:p w14:paraId="6B228D58" w14:textId="77777777" w:rsidR="00096FC8" w:rsidRDefault="00096FC8" w:rsidP="00D20CE7">
      <w:pPr>
        <w:pStyle w:val="ListParagraph"/>
        <w:overflowPunct/>
        <w:autoSpaceDE/>
        <w:spacing w:after="240"/>
        <w:ind w:left="0"/>
        <w:rPr>
          <w:szCs w:val="24"/>
        </w:rPr>
      </w:pPr>
    </w:p>
    <w:p w14:paraId="6C13130C" w14:textId="3FC3C927" w:rsidR="007C1F93" w:rsidRDefault="007C1F93" w:rsidP="00B942C0">
      <w:pPr>
        <w:pStyle w:val="ListParagraph"/>
        <w:overflowPunct/>
        <w:autoSpaceDE/>
        <w:spacing w:after="240"/>
        <w:ind w:left="0"/>
        <w:rPr>
          <w:szCs w:val="24"/>
        </w:rPr>
      </w:pPr>
      <w:r w:rsidRPr="00365CF7">
        <w:rPr>
          <w:szCs w:val="24"/>
        </w:rPr>
        <w:t>This will mean that:</w:t>
      </w:r>
    </w:p>
    <w:p w14:paraId="32CE9A16" w14:textId="77777777" w:rsidR="007C1F93" w:rsidRPr="00365CF7" w:rsidRDefault="007C1F93" w:rsidP="007C1F93">
      <w:pPr>
        <w:pStyle w:val="ListParagraph"/>
        <w:overflowPunct/>
        <w:autoSpaceDE/>
        <w:spacing w:after="240"/>
        <w:ind w:left="357"/>
        <w:rPr>
          <w:szCs w:val="24"/>
        </w:rPr>
      </w:pPr>
    </w:p>
    <w:p w14:paraId="3AFA1908" w14:textId="2C21A66A" w:rsidR="007C1F93" w:rsidRPr="00652912" w:rsidRDefault="00AF0A2E" w:rsidP="007C1F93">
      <w:pPr>
        <w:pStyle w:val="ListParagraph"/>
        <w:widowControl/>
        <w:numPr>
          <w:ilvl w:val="0"/>
          <w:numId w:val="24"/>
        </w:numPr>
        <w:overflowPunct/>
        <w:autoSpaceDE/>
        <w:autoSpaceDN/>
        <w:adjustRightInd/>
        <w:spacing w:after="120"/>
        <w:ind w:left="714" w:hanging="357"/>
        <w:contextualSpacing w:val="0"/>
        <w:textAlignment w:val="auto"/>
        <w:rPr>
          <w:bCs/>
        </w:rPr>
      </w:pPr>
      <w:r>
        <w:rPr>
          <w:bCs/>
        </w:rPr>
        <w:t>All 16</w:t>
      </w:r>
      <w:r w:rsidR="001F17E4">
        <w:rPr>
          <w:bCs/>
        </w:rPr>
        <w:t>-</w:t>
      </w:r>
      <w:r>
        <w:rPr>
          <w:bCs/>
        </w:rPr>
        <w:t xml:space="preserve">19 </w:t>
      </w:r>
      <w:r w:rsidR="007C1F93" w:rsidRPr="00652912">
        <w:rPr>
          <w:bCs/>
        </w:rPr>
        <w:t>year</w:t>
      </w:r>
      <w:r w:rsidR="001F17E4">
        <w:rPr>
          <w:bCs/>
        </w:rPr>
        <w:t xml:space="preserve"> </w:t>
      </w:r>
      <w:r w:rsidR="007C1F93" w:rsidRPr="00652912">
        <w:rPr>
          <w:bCs/>
        </w:rPr>
        <w:t xml:space="preserve">olds will be offered </w:t>
      </w:r>
      <w:r w:rsidR="007C1F93">
        <w:rPr>
          <w:bCs/>
        </w:rPr>
        <w:t xml:space="preserve">a </w:t>
      </w:r>
      <w:r w:rsidR="007C1F93" w:rsidRPr="00652912">
        <w:rPr>
          <w:bCs/>
        </w:rPr>
        <w:t>high quality Study Programme aimed at giving them the best opportunity to move into higher education or secure skilled employment.</w:t>
      </w:r>
    </w:p>
    <w:p w14:paraId="279F15FC" w14:textId="637F29D2" w:rsidR="007C1F93" w:rsidRPr="00652912" w:rsidRDefault="007C1F93" w:rsidP="007C1F93">
      <w:pPr>
        <w:pStyle w:val="ListParagraph"/>
        <w:widowControl/>
        <w:numPr>
          <w:ilvl w:val="0"/>
          <w:numId w:val="24"/>
        </w:numPr>
        <w:overflowPunct/>
        <w:autoSpaceDE/>
        <w:autoSpaceDN/>
        <w:adjustRightInd/>
        <w:spacing w:after="120"/>
        <w:ind w:left="714" w:hanging="357"/>
        <w:contextualSpacing w:val="0"/>
        <w:textAlignment w:val="auto"/>
        <w:rPr>
          <w:bCs/>
        </w:rPr>
      </w:pPr>
      <w:r>
        <w:rPr>
          <w:bCs/>
        </w:rPr>
        <w:t>All students who are able</w:t>
      </w:r>
      <w:r w:rsidR="001E067B">
        <w:rPr>
          <w:bCs/>
        </w:rPr>
        <w:t xml:space="preserve"> will take A</w:t>
      </w:r>
      <w:r w:rsidRPr="00652912">
        <w:rPr>
          <w:bCs/>
        </w:rPr>
        <w:t xml:space="preserve"> levels </w:t>
      </w:r>
      <w:r>
        <w:rPr>
          <w:bCs/>
        </w:rPr>
        <w:t>and/</w:t>
      </w:r>
      <w:r w:rsidRPr="00652912">
        <w:rPr>
          <w:bCs/>
        </w:rPr>
        <w:t xml:space="preserve">or substantial </w:t>
      </w:r>
      <w:r>
        <w:rPr>
          <w:bCs/>
        </w:rPr>
        <w:t xml:space="preserve">vocational </w:t>
      </w:r>
      <w:r w:rsidRPr="00652912">
        <w:rPr>
          <w:bCs/>
        </w:rPr>
        <w:t>qualification</w:t>
      </w:r>
      <w:r>
        <w:rPr>
          <w:bCs/>
        </w:rPr>
        <w:t>s that are</w:t>
      </w:r>
      <w:r w:rsidRPr="00652912">
        <w:rPr>
          <w:bCs/>
        </w:rPr>
        <w:t xml:space="preserve"> recognised by employers </w:t>
      </w:r>
      <w:r>
        <w:rPr>
          <w:bCs/>
        </w:rPr>
        <w:t xml:space="preserve">and/or higher education </w:t>
      </w:r>
      <w:r w:rsidRPr="00652912">
        <w:rPr>
          <w:bCs/>
        </w:rPr>
        <w:t>as being of real benefit in securing work or a university place.</w:t>
      </w:r>
    </w:p>
    <w:p w14:paraId="1D1B225D" w14:textId="77777777" w:rsidR="007C1F93" w:rsidRPr="00652912" w:rsidRDefault="007C1F93" w:rsidP="007C1F93">
      <w:pPr>
        <w:pStyle w:val="ListParagraph"/>
        <w:widowControl/>
        <w:numPr>
          <w:ilvl w:val="0"/>
          <w:numId w:val="24"/>
        </w:numPr>
        <w:overflowPunct/>
        <w:autoSpaceDE/>
        <w:autoSpaceDN/>
        <w:adjustRightInd/>
        <w:spacing w:after="120"/>
        <w:ind w:left="714" w:hanging="357"/>
        <w:contextualSpacing w:val="0"/>
        <w:textAlignment w:val="auto"/>
        <w:rPr>
          <w:bCs/>
        </w:rPr>
      </w:pPr>
      <w:r w:rsidRPr="00652912">
        <w:rPr>
          <w:bCs/>
        </w:rPr>
        <w:t>Where appropriate, students will also take part in work experience.</w:t>
      </w:r>
    </w:p>
    <w:p w14:paraId="35021E01" w14:textId="77777777" w:rsidR="007C1F93" w:rsidRPr="00652912" w:rsidRDefault="007C1F93" w:rsidP="007C1F93">
      <w:pPr>
        <w:pStyle w:val="ListParagraph"/>
        <w:widowControl/>
        <w:numPr>
          <w:ilvl w:val="0"/>
          <w:numId w:val="24"/>
        </w:numPr>
        <w:overflowPunct/>
        <w:autoSpaceDE/>
        <w:autoSpaceDN/>
        <w:adjustRightInd/>
        <w:spacing w:after="120"/>
        <w:ind w:left="714" w:hanging="357"/>
        <w:contextualSpacing w:val="0"/>
        <w:textAlignment w:val="auto"/>
        <w:rPr>
          <w:bCs/>
        </w:rPr>
      </w:pPr>
      <w:r w:rsidRPr="00652912">
        <w:rPr>
          <w:bCs/>
        </w:rPr>
        <w:t>Students who do not have GCSE</w:t>
      </w:r>
      <w:r>
        <w:rPr>
          <w:bCs/>
        </w:rPr>
        <w:t>s</w:t>
      </w:r>
      <w:r w:rsidRPr="00652912">
        <w:rPr>
          <w:bCs/>
        </w:rPr>
        <w:t xml:space="preserve"> in English and math</w:t>
      </w:r>
      <w:r>
        <w:rPr>
          <w:bCs/>
        </w:rPr>
        <w:t>ematic</w:t>
      </w:r>
      <w:r w:rsidRPr="00652912">
        <w:rPr>
          <w:bCs/>
        </w:rPr>
        <w:t>s at 16 will continue to study these subjects after 16.</w:t>
      </w:r>
    </w:p>
    <w:p w14:paraId="2D45EC7F" w14:textId="18B13827" w:rsidR="007C1F93" w:rsidRPr="00652912" w:rsidRDefault="007C1F93" w:rsidP="007C1F93">
      <w:pPr>
        <w:pStyle w:val="ListParagraph"/>
        <w:widowControl/>
        <w:numPr>
          <w:ilvl w:val="0"/>
          <w:numId w:val="24"/>
        </w:numPr>
        <w:overflowPunct/>
        <w:autoSpaceDE/>
        <w:autoSpaceDN/>
        <w:adjustRightInd/>
        <w:ind w:left="714" w:hanging="357"/>
        <w:contextualSpacing w:val="0"/>
        <w:textAlignment w:val="auto"/>
        <w:rPr>
          <w:bCs/>
        </w:rPr>
      </w:pPr>
      <w:r w:rsidRPr="00652912">
        <w:rPr>
          <w:bCs/>
        </w:rPr>
        <w:t xml:space="preserve">Students who are not able to study a </w:t>
      </w:r>
      <w:r>
        <w:rPr>
          <w:bCs/>
        </w:rPr>
        <w:t xml:space="preserve">substantial </w:t>
      </w:r>
      <w:r w:rsidRPr="00652912">
        <w:rPr>
          <w:bCs/>
        </w:rPr>
        <w:t xml:space="preserve">qualification will take a programme of work experience focusing on developing their employability skills, along with work to develop numeracy, literacy </w:t>
      </w:r>
      <w:r w:rsidR="001F17E4">
        <w:rPr>
          <w:bCs/>
        </w:rPr>
        <w:t>and other core education skills</w:t>
      </w:r>
      <w:r w:rsidRPr="009A5EB9">
        <w:rPr>
          <w:rStyle w:val="FootnoteReference"/>
          <w:rFonts w:cs="Arial"/>
          <w:color w:val="000000"/>
          <w:szCs w:val="24"/>
          <w:lang w:val="en" w:eastAsia="en-GB"/>
        </w:rPr>
        <w:footnoteReference w:id="3"/>
      </w:r>
      <w:r w:rsidR="001F17E4">
        <w:rPr>
          <w:bCs/>
        </w:rPr>
        <w:t>.</w:t>
      </w:r>
    </w:p>
    <w:p w14:paraId="6E8E9FB2" w14:textId="77777777" w:rsidR="007C1F93" w:rsidRPr="00365CF7" w:rsidRDefault="007C1F93" w:rsidP="007C1F93">
      <w:pPr>
        <w:pStyle w:val="ListParagraph"/>
        <w:overflowPunct/>
        <w:autoSpaceDE/>
        <w:spacing w:after="240"/>
        <w:ind w:left="0"/>
        <w:rPr>
          <w:szCs w:val="24"/>
        </w:rPr>
      </w:pPr>
    </w:p>
    <w:p w14:paraId="70916E84" w14:textId="77777777" w:rsidR="007C1F93" w:rsidRDefault="007C1F93" w:rsidP="00B942C0">
      <w:pPr>
        <w:pStyle w:val="ListParagraph"/>
        <w:overflowPunct/>
        <w:autoSpaceDE/>
        <w:spacing w:after="240"/>
        <w:ind w:left="0"/>
        <w:rPr>
          <w:szCs w:val="24"/>
        </w:rPr>
      </w:pPr>
      <w:r w:rsidRPr="00365CF7">
        <w:rPr>
          <w:szCs w:val="24"/>
        </w:rPr>
        <w:t>To support the introduction of 16-</w:t>
      </w:r>
      <w:r>
        <w:rPr>
          <w:szCs w:val="24"/>
        </w:rPr>
        <w:t>19 Study Programmes and encourage teaching of substantial vocational qualifications:</w:t>
      </w:r>
    </w:p>
    <w:p w14:paraId="1649ABBA" w14:textId="77777777" w:rsidR="007C1F93" w:rsidRDefault="007C1F93" w:rsidP="007C1F93">
      <w:pPr>
        <w:pStyle w:val="ListParagraph"/>
        <w:overflowPunct/>
        <w:autoSpaceDE/>
        <w:spacing w:after="240"/>
        <w:ind w:left="357"/>
        <w:rPr>
          <w:szCs w:val="24"/>
        </w:rPr>
      </w:pPr>
    </w:p>
    <w:p w14:paraId="234DB618" w14:textId="77777777" w:rsidR="007C1F93" w:rsidRPr="00225E39" w:rsidRDefault="007C1F93" w:rsidP="007C1F93">
      <w:pPr>
        <w:pStyle w:val="ListParagraph"/>
        <w:widowControl/>
        <w:numPr>
          <w:ilvl w:val="0"/>
          <w:numId w:val="24"/>
        </w:numPr>
        <w:overflowPunct/>
        <w:autoSpaceDE/>
        <w:autoSpaceDN/>
        <w:adjustRightInd/>
        <w:spacing w:after="120"/>
        <w:ind w:left="714" w:hanging="357"/>
        <w:contextualSpacing w:val="0"/>
        <w:textAlignment w:val="auto"/>
        <w:rPr>
          <w:bCs/>
        </w:rPr>
      </w:pPr>
      <w:r w:rsidRPr="00225E39">
        <w:rPr>
          <w:bCs/>
        </w:rPr>
        <w:t xml:space="preserve">Ofsted will inspect the suitability of the programmes developed for students as a part of </w:t>
      </w:r>
      <w:r>
        <w:rPr>
          <w:bCs/>
        </w:rPr>
        <w:t xml:space="preserve">demonstrating </w:t>
      </w:r>
      <w:r w:rsidRPr="00225E39">
        <w:rPr>
          <w:bCs/>
        </w:rPr>
        <w:t>progress and progression standards under the Common Inspection Framework</w:t>
      </w:r>
      <w:r>
        <w:rPr>
          <w:bCs/>
        </w:rPr>
        <w:t>; and</w:t>
      </w:r>
    </w:p>
    <w:p w14:paraId="774F810B" w14:textId="77777777" w:rsidR="007C1F93" w:rsidRPr="00225E39" w:rsidRDefault="007C1F93" w:rsidP="007C1F93">
      <w:pPr>
        <w:pStyle w:val="ListParagraph"/>
        <w:widowControl/>
        <w:numPr>
          <w:ilvl w:val="0"/>
          <w:numId w:val="24"/>
        </w:numPr>
        <w:overflowPunct/>
        <w:autoSpaceDE/>
        <w:autoSpaceDN/>
        <w:adjustRightInd/>
        <w:contextualSpacing w:val="0"/>
        <w:textAlignment w:val="auto"/>
        <w:rPr>
          <w:bCs/>
        </w:rPr>
      </w:pPr>
      <w:r w:rsidRPr="00225E39">
        <w:rPr>
          <w:bCs/>
        </w:rPr>
        <w:t xml:space="preserve">The Education Funding Agency will monitor whether qualifications taken are ‘substantial’ </w:t>
      </w:r>
      <w:r>
        <w:rPr>
          <w:bCs/>
        </w:rPr>
        <w:t xml:space="preserve">– </w:t>
      </w:r>
      <w:r w:rsidRPr="00225E39">
        <w:rPr>
          <w:bCs/>
        </w:rPr>
        <w:t xml:space="preserve">the size of the qualifications, </w:t>
      </w:r>
      <w:r>
        <w:rPr>
          <w:bCs/>
        </w:rPr>
        <w:t xml:space="preserve">their </w:t>
      </w:r>
      <w:r w:rsidRPr="00225E39">
        <w:rPr>
          <w:bCs/>
        </w:rPr>
        <w:t>approv</w:t>
      </w:r>
      <w:r>
        <w:rPr>
          <w:bCs/>
        </w:rPr>
        <w:t>al</w:t>
      </w:r>
      <w:r w:rsidRPr="00225E39">
        <w:rPr>
          <w:bCs/>
        </w:rPr>
        <w:t xml:space="preserve"> for teaching </w:t>
      </w:r>
      <w:r>
        <w:rPr>
          <w:bCs/>
        </w:rPr>
        <w:t xml:space="preserve">post-16 </w:t>
      </w:r>
      <w:r w:rsidRPr="00225E39">
        <w:rPr>
          <w:bCs/>
        </w:rPr>
        <w:t>and whether they will be reported in performance tables</w:t>
      </w:r>
      <w:r>
        <w:rPr>
          <w:bCs/>
        </w:rPr>
        <w:t xml:space="preserve">. </w:t>
      </w:r>
    </w:p>
    <w:p w14:paraId="40168A64" w14:textId="77777777" w:rsidR="007C1F93" w:rsidRDefault="007C1F93" w:rsidP="007C1F93">
      <w:pPr>
        <w:rPr>
          <w:b/>
          <w:bCs/>
        </w:rPr>
      </w:pPr>
    </w:p>
    <w:p w14:paraId="3BD77858" w14:textId="77777777" w:rsidR="00096FC8" w:rsidRDefault="00096FC8" w:rsidP="00110E62">
      <w:pPr>
        <w:rPr>
          <w:b/>
          <w:bCs/>
        </w:rPr>
      </w:pPr>
    </w:p>
    <w:p w14:paraId="3BC800DC" w14:textId="77777777" w:rsidR="007C1F93" w:rsidRPr="00AE47A1" w:rsidRDefault="007C1F93" w:rsidP="00110E62">
      <w:pPr>
        <w:rPr>
          <w:b/>
          <w:bCs/>
        </w:rPr>
      </w:pPr>
      <w:r w:rsidRPr="00AE47A1">
        <w:rPr>
          <w:b/>
          <w:bCs/>
        </w:rPr>
        <w:t>The Richard Review of Apprenticeships</w:t>
      </w:r>
    </w:p>
    <w:p w14:paraId="02D5CC4C" w14:textId="77777777" w:rsidR="007C1F93" w:rsidRPr="00AE47A1" w:rsidRDefault="007C1F93" w:rsidP="00110E62">
      <w:pPr>
        <w:rPr>
          <w:bCs/>
        </w:rPr>
      </w:pPr>
    </w:p>
    <w:p w14:paraId="72495186" w14:textId="57537138" w:rsidR="005E56E3" w:rsidRDefault="007C1F93" w:rsidP="00110E62">
      <w:pPr>
        <w:rPr>
          <w:szCs w:val="24"/>
        </w:rPr>
      </w:pPr>
      <w:r w:rsidRPr="00AE47A1">
        <w:rPr>
          <w:szCs w:val="24"/>
        </w:rPr>
        <w:t xml:space="preserve">This consultation is focused on the </w:t>
      </w:r>
      <w:r>
        <w:rPr>
          <w:szCs w:val="24"/>
        </w:rPr>
        <w:t xml:space="preserve">substantial vocational </w:t>
      </w:r>
      <w:r w:rsidRPr="00AE47A1">
        <w:rPr>
          <w:szCs w:val="24"/>
        </w:rPr>
        <w:t xml:space="preserve">qualifications </w:t>
      </w:r>
      <w:r>
        <w:rPr>
          <w:szCs w:val="24"/>
        </w:rPr>
        <w:t xml:space="preserve">at Level 3 that are provided for </w:t>
      </w:r>
      <w:r w:rsidR="001F17E4">
        <w:rPr>
          <w:szCs w:val="24"/>
        </w:rPr>
        <w:t>16-</w:t>
      </w:r>
      <w:r w:rsidRPr="00AE47A1">
        <w:rPr>
          <w:szCs w:val="24"/>
        </w:rPr>
        <w:t>19</w:t>
      </w:r>
      <w:r>
        <w:rPr>
          <w:szCs w:val="24"/>
        </w:rPr>
        <w:t xml:space="preserve"> </w:t>
      </w:r>
      <w:r w:rsidRPr="00AE47A1">
        <w:rPr>
          <w:szCs w:val="24"/>
        </w:rPr>
        <w:t>year</w:t>
      </w:r>
      <w:r w:rsidR="001F17E4">
        <w:rPr>
          <w:szCs w:val="24"/>
        </w:rPr>
        <w:t xml:space="preserve"> </w:t>
      </w:r>
      <w:r w:rsidRPr="00AE47A1">
        <w:rPr>
          <w:szCs w:val="24"/>
        </w:rPr>
        <w:t>olds in England</w:t>
      </w:r>
      <w:r>
        <w:rPr>
          <w:szCs w:val="24"/>
        </w:rPr>
        <w:t xml:space="preserve"> enrolled</w:t>
      </w:r>
      <w:r w:rsidRPr="00AE47A1">
        <w:rPr>
          <w:szCs w:val="24"/>
        </w:rPr>
        <w:t xml:space="preserve"> </w:t>
      </w:r>
      <w:r>
        <w:rPr>
          <w:szCs w:val="24"/>
        </w:rPr>
        <w:t>at</w:t>
      </w:r>
      <w:r w:rsidRPr="00AE47A1">
        <w:rPr>
          <w:szCs w:val="24"/>
        </w:rPr>
        <w:t xml:space="preserve"> a school, college or training provider</w:t>
      </w:r>
      <w:r w:rsidRPr="001C681D">
        <w:rPr>
          <w:szCs w:val="24"/>
        </w:rPr>
        <w:t xml:space="preserve">. </w:t>
      </w:r>
      <w:r w:rsidR="005E56E3" w:rsidRPr="001C681D">
        <w:t>Reform of Apprenticeship frameworks, and their under-pinning qualifications, is being considered separately through the Government’s response to the Richard Review of Apprenticeships</w:t>
      </w:r>
      <w:r w:rsidR="005E56E3" w:rsidRPr="001C681D">
        <w:rPr>
          <w:rStyle w:val="FootnoteReference"/>
          <w:szCs w:val="24"/>
        </w:rPr>
        <w:footnoteReference w:id="4"/>
      </w:r>
      <w:r w:rsidR="005E56E3" w:rsidRPr="001C681D">
        <w:t xml:space="preserve">. </w:t>
      </w:r>
    </w:p>
    <w:p w14:paraId="01C9779F" w14:textId="77777777" w:rsidR="005E56E3" w:rsidRDefault="005E56E3" w:rsidP="00110E62">
      <w:pPr>
        <w:rPr>
          <w:szCs w:val="24"/>
        </w:rPr>
      </w:pPr>
    </w:p>
    <w:p w14:paraId="2F3C6680" w14:textId="10BDF94B" w:rsidR="007C1F93" w:rsidRDefault="007C1F93">
      <w:pPr>
        <w:rPr>
          <w:szCs w:val="24"/>
        </w:rPr>
      </w:pPr>
      <w:r>
        <w:rPr>
          <w:szCs w:val="24"/>
        </w:rPr>
        <w:lastRenderedPageBreak/>
        <w:t>T</w:t>
      </w:r>
      <w:r w:rsidRPr="00AE47A1">
        <w:rPr>
          <w:szCs w:val="24"/>
        </w:rPr>
        <w:t xml:space="preserve">hese 16-19 reform proposals and the Richard </w:t>
      </w:r>
      <w:r>
        <w:rPr>
          <w:szCs w:val="24"/>
        </w:rPr>
        <w:t xml:space="preserve">Review </w:t>
      </w:r>
      <w:r w:rsidRPr="00AE47A1">
        <w:rPr>
          <w:szCs w:val="24"/>
        </w:rPr>
        <w:t xml:space="preserve">recommendations share common principles, in particular the need to drive up quality and increase employer engagement with the design, delivery and assessment of vocational qualifications and apprenticeships. </w:t>
      </w:r>
    </w:p>
    <w:p w14:paraId="63115FF3" w14:textId="77777777" w:rsidR="0018134B" w:rsidRDefault="0018134B">
      <w:pPr>
        <w:rPr>
          <w:b/>
          <w:szCs w:val="24"/>
        </w:rPr>
      </w:pPr>
    </w:p>
    <w:p w14:paraId="54309D50" w14:textId="77777777" w:rsidR="00096FC8" w:rsidRDefault="00096FC8" w:rsidP="00110E62">
      <w:pPr>
        <w:rPr>
          <w:b/>
          <w:color w:val="000000"/>
          <w:szCs w:val="24"/>
          <w:lang w:eastAsia="en-GB"/>
        </w:rPr>
      </w:pPr>
    </w:p>
    <w:p w14:paraId="300C8E94" w14:textId="6D10D96B" w:rsidR="00600CA8" w:rsidRDefault="0068124E" w:rsidP="00110E62">
      <w:pPr>
        <w:rPr>
          <w:color w:val="000000"/>
          <w:szCs w:val="24"/>
          <w:lang w:eastAsia="en-GB"/>
        </w:rPr>
      </w:pPr>
      <w:r w:rsidRPr="00B942C0">
        <w:rPr>
          <w:b/>
          <w:color w:val="000000"/>
          <w:szCs w:val="24"/>
          <w:lang w:eastAsia="en-GB"/>
        </w:rPr>
        <w:t>Reform of school accountability measures</w:t>
      </w:r>
      <w:r w:rsidRPr="00B942C0">
        <w:rPr>
          <w:color w:val="000000"/>
          <w:szCs w:val="24"/>
          <w:lang w:eastAsia="en-GB"/>
        </w:rPr>
        <w:t xml:space="preserve"> </w:t>
      </w:r>
    </w:p>
    <w:p w14:paraId="1831F0A9" w14:textId="77777777" w:rsidR="00600CA8" w:rsidRDefault="00600CA8" w:rsidP="00110E62">
      <w:pPr>
        <w:rPr>
          <w:color w:val="000000"/>
          <w:szCs w:val="24"/>
          <w:lang w:eastAsia="en-GB"/>
        </w:rPr>
      </w:pPr>
    </w:p>
    <w:p w14:paraId="391F864C" w14:textId="04232C61" w:rsidR="007C1F93" w:rsidRPr="00CB4C35" w:rsidRDefault="007C1F93" w:rsidP="00110E62">
      <w:pPr>
        <w:rPr>
          <w:szCs w:val="24"/>
        </w:rPr>
      </w:pPr>
      <w:r w:rsidRPr="0068124E">
        <w:rPr>
          <w:szCs w:val="24"/>
        </w:rPr>
        <w:t xml:space="preserve">The Government </w:t>
      </w:r>
      <w:r w:rsidR="001C681D">
        <w:rPr>
          <w:szCs w:val="24"/>
        </w:rPr>
        <w:t xml:space="preserve">recently launched </w:t>
      </w:r>
      <w:r w:rsidR="00AF0A2E">
        <w:rPr>
          <w:szCs w:val="24"/>
        </w:rPr>
        <w:t>a</w:t>
      </w:r>
      <w:r w:rsidRPr="0068124E">
        <w:rPr>
          <w:szCs w:val="24"/>
        </w:rPr>
        <w:t xml:space="preserve"> consultation seeking views on how to improve the accountability measures for secondary schools</w:t>
      </w:r>
      <w:r w:rsidR="001C681D">
        <w:rPr>
          <w:szCs w:val="24"/>
        </w:rPr>
        <w:t xml:space="preserve"> in England</w:t>
      </w:r>
      <w:r w:rsidR="00ED19F2">
        <w:rPr>
          <w:rStyle w:val="FootnoteReference"/>
          <w:szCs w:val="24"/>
        </w:rPr>
        <w:footnoteReference w:id="5"/>
      </w:r>
      <w:r w:rsidRPr="0068124E">
        <w:rPr>
          <w:szCs w:val="24"/>
        </w:rPr>
        <w:t>.</w:t>
      </w:r>
      <w:r w:rsidR="001C681D">
        <w:rPr>
          <w:szCs w:val="24"/>
        </w:rPr>
        <w:t xml:space="preserve"> The accountability system for primary schools and post-16 providers will be considered in </w:t>
      </w:r>
      <w:r w:rsidR="00F56C3F">
        <w:rPr>
          <w:szCs w:val="24"/>
        </w:rPr>
        <w:t>separate consultation documents, which will be published later this year</w:t>
      </w:r>
      <w:r w:rsidR="001C681D">
        <w:rPr>
          <w:szCs w:val="24"/>
        </w:rPr>
        <w:t xml:space="preserve">. </w:t>
      </w:r>
      <w:r w:rsidR="000D4E62" w:rsidRPr="0068124E">
        <w:rPr>
          <w:szCs w:val="24"/>
        </w:rPr>
        <w:t xml:space="preserve">The secondary school measures will reflect the </w:t>
      </w:r>
      <w:r w:rsidR="000D4E62">
        <w:rPr>
          <w:szCs w:val="24"/>
        </w:rPr>
        <w:t xml:space="preserve">significant reform to GCSEs with the improved qualifications being taught from 2015, and first exams taken in 2017. </w:t>
      </w:r>
    </w:p>
    <w:p w14:paraId="436999F6" w14:textId="77777777" w:rsidR="00096FC8" w:rsidRDefault="00096FC8" w:rsidP="00B942C0">
      <w:pPr>
        <w:pStyle w:val="ListParagraph"/>
        <w:widowControl/>
        <w:overflowPunct/>
        <w:autoSpaceDE/>
        <w:autoSpaceDN/>
        <w:adjustRightInd/>
        <w:spacing w:after="240"/>
        <w:ind w:left="0"/>
        <w:contextualSpacing w:val="0"/>
        <w:textAlignment w:val="auto"/>
        <w:rPr>
          <w:rFonts w:eastAsia="Calibri" w:cs="Arial"/>
          <w:b/>
          <w:szCs w:val="24"/>
        </w:rPr>
      </w:pPr>
    </w:p>
    <w:p w14:paraId="096FED1A" w14:textId="77777777" w:rsidR="007C1F93" w:rsidRPr="00AE47A1" w:rsidRDefault="007C1F93" w:rsidP="00B942C0">
      <w:pPr>
        <w:pStyle w:val="ListParagraph"/>
        <w:widowControl/>
        <w:overflowPunct/>
        <w:autoSpaceDE/>
        <w:autoSpaceDN/>
        <w:adjustRightInd/>
        <w:spacing w:after="240"/>
        <w:ind w:left="0"/>
        <w:contextualSpacing w:val="0"/>
        <w:textAlignment w:val="auto"/>
        <w:rPr>
          <w:rFonts w:eastAsia="Calibri" w:cs="Arial"/>
          <w:b/>
          <w:szCs w:val="24"/>
        </w:rPr>
      </w:pPr>
      <w:r w:rsidRPr="00AE47A1">
        <w:rPr>
          <w:rFonts w:eastAsia="Calibri" w:cs="Arial"/>
          <w:b/>
          <w:szCs w:val="24"/>
        </w:rPr>
        <w:t>Regulation of qualifications</w:t>
      </w:r>
    </w:p>
    <w:p w14:paraId="25E7A99B" w14:textId="77777777" w:rsidR="007C1F93" w:rsidRPr="002077BC" w:rsidRDefault="007C1F93" w:rsidP="00110E62">
      <w:r w:rsidRPr="002077BC">
        <w:t xml:space="preserve">Awarding </w:t>
      </w:r>
      <w:r>
        <w:t>o</w:t>
      </w:r>
      <w:r w:rsidRPr="002077BC">
        <w:t>rganisations are responsible for quality assuring assessment</w:t>
      </w:r>
      <w:r>
        <w:t>s</w:t>
      </w:r>
      <w:r w:rsidRPr="002077BC">
        <w:t xml:space="preserve"> undertaken by providers, to ensure </w:t>
      </w:r>
      <w:r>
        <w:t>they</w:t>
      </w:r>
      <w:r w:rsidRPr="002077BC">
        <w:t xml:space="preserve"> meet the standards set out for the qualification. Ofqual, the independent regulator, monitors </w:t>
      </w:r>
      <w:r>
        <w:t>a</w:t>
      </w:r>
      <w:r w:rsidRPr="002077BC">
        <w:t xml:space="preserve">warding </w:t>
      </w:r>
      <w:r>
        <w:t>o</w:t>
      </w:r>
      <w:r w:rsidRPr="002077BC">
        <w:t xml:space="preserve">rganisations to make sure those standards are maintained, using a risk-based approach. </w:t>
      </w:r>
    </w:p>
    <w:p w14:paraId="43626AC3" w14:textId="77777777" w:rsidR="007C1F93" w:rsidRPr="002077BC" w:rsidRDefault="007C1F93" w:rsidP="00110E62"/>
    <w:p w14:paraId="31A6914F" w14:textId="77777777" w:rsidR="007C1F93" w:rsidRPr="002077BC" w:rsidRDefault="007C1F93" w:rsidP="00110E62">
      <w:pPr>
        <w:rPr>
          <w:szCs w:val="24"/>
        </w:rPr>
      </w:pPr>
      <w:r w:rsidRPr="002077BC">
        <w:rPr>
          <w:szCs w:val="24"/>
        </w:rPr>
        <w:t>The proposals</w:t>
      </w:r>
      <w:r>
        <w:rPr>
          <w:szCs w:val="24"/>
        </w:rPr>
        <w:t xml:space="preserve"> set out in this consultation document</w:t>
      </w:r>
      <w:r w:rsidRPr="002077BC">
        <w:rPr>
          <w:szCs w:val="24"/>
        </w:rPr>
        <w:t xml:space="preserve"> have been discussed with Ofqual. They </w:t>
      </w:r>
      <w:r>
        <w:rPr>
          <w:szCs w:val="24"/>
        </w:rPr>
        <w:t xml:space="preserve">will </w:t>
      </w:r>
      <w:r w:rsidRPr="002077BC">
        <w:rPr>
          <w:szCs w:val="24"/>
        </w:rPr>
        <w:t>not duplicate Ofqual’s regulatory role</w:t>
      </w:r>
      <w:r>
        <w:rPr>
          <w:szCs w:val="24"/>
        </w:rPr>
        <w:t xml:space="preserve">, but are intended to use school and college </w:t>
      </w:r>
      <w:r w:rsidRPr="002077BC">
        <w:rPr>
          <w:szCs w:val="24"/>
        </w:rPr>
        <w:t xml:space="preserve">accountability arrangements </w:t>
      </w:r>
      <w:r>
        <w:rPr>
          <w:szCs w:val="24"/>
        </w:rPr>
        <w:t>to</w:t>
      </w:r>
      <w:r w:rsidRPr="002077BC">
        <w:rPr>
          <w:szCs w:val="24"/>
        </w:rPr>
        <w:t xml:space="preserve"> </w:t>
      </w:r>
      <w:r>
        <w:rPr>
          <w:szCs w:val="24"/>
        </w:rPr>
        <w:t xml:space="preserve">incentivise the take-up of </w:t>
      </w:r>
      <w:r w:rsidRPr="002077BC">
        <w:rPr>
          <w:szCs w:val="24"/>
        </w:rPr>
        <w:t xml:space="preserve">qualifications that the Government decides are </w:t>
      </w:r>
      <w:r>
        <w:rPr>
          <w:szCs w:val="24"/>
        </w:rPr>
        <w:t xml:space="preserve">the </w:t>
      </w:r>
      <w:r w:rsidRPr="002077BC">
        <w:rPr>
          <w:szCs w:val="24"/>
        </w:rPr>
        <w:t xml:space="preserve">most appropriate for students </w:t>
      </w:r>
      <w:r>
        <w:rPr>
          <w:szCs w:val="24"/>
        </w:rPr>
        <w:t>aged</w:t>
      </w:r>
      <w:r w:rsidRPr="002077BC">
        <w:rPr>
          <w:szCs w:val="24"/>
        </w:rPr>
        <w:t xml:space="preserve"> 16-19</w:t>
      </w:r>
      <w:r>
        <w:rPr>
          <w:szCs w:val="24"/>
        </w:rPr>
        <w:t>. They also aim to</w:t>
      </w:r>
      <w:r w:rsidRPr="002077BC">
        <w:rPr>
          <w:szCs w:val="24"/>
        </w:rPr>
        <w:t xml:space="preserve"> </w:t>
      </w:r>
      <w:r>
        <w:rPr>
          <w:szCs w:val="24"/>
        </w:rPr>
        <w:t>remove</w:t>
      </w:r>
      <w:r w:rsidRPr="002077BC">
        <w:rPr>
          <w:szCs w:val="24"/>
        </w:rPr>
        <w:t xml:space="preserve"> some of the perverse incentives </w:t>
      </w:r>
      <w:r>
        <w:rPr>
          <w:szCs w:val="24"/>
        </w:rPr>
        <w:t>in</w:t>
      </w:r>
      <w:r w:rsidRPr="002077BC">
        <w:rPr>
          <w:szCs w:val="24"/>
        </w:rPr>
        <w:t xml:space="preserve"> the current accountability system</w:t>
      </w:r>
      <w:r>
        <w:rPr>
          <w:szCs w:val="24"/>
        </w:rPr>
        <w:t xml:space="preserve"> which could lead to qualifications being offered for reasons other than their value to students</w:t>
      </w:r>
      <w:r w:rsidRPr="002077BC">
        <w:rPr>
          <w:szCs w:val="24"/>
        </w:rPr>
        <w:t>.</w:t>
      </w:r>
    </w:p>
    <w:p w14:paraId="5E214EB3" w14:textId="77777777" w:rsidR="007C1F93" w:rsidRPr="00887690" w:rsidRDefault="007C1F93" w:rsidP="00110E62">
      <w:pPr>
        <w:rPr>
          <w:color w:val="8064A2"/>
          <w:szCs w:val="24"/>
        </w:rPr>
      </w:pPr>
    </w:p>
    <w:p w14:paraId="3ED52269" w14:textId="77777777" w:rsidR="007C1F93" w:rsidRDefault="007C1F93" w:rsidP="00110E62">
      <w:pPr>
        <w:rPr>
          <w:szCs w:val="24"/>
        </w:rPr>
      </w:pPr>
      <w:r>
        <w:rPr>
          <w:szCs w:val="24"/>
        </w:rPr>
        <w:t xml:space="preserve">These proposals do not affect the ability of </w:t>
      </w:r>
      <w:r w:rsidRPr="00AE47A1">
        <w:rPr>
          <w:szCs w:val="24"/>
        </w:rPr>
        <w:t>school</w:t>
      </w:r>
      <w:r>
        <w:rPr>
          <w:szCs w:val="24"/>
        </w:rPr>
        <w:t>s</w:t>
      </w:r>
      <w:r w:rsidRPr="00AE47A1">
        <w:rPr>
          <w:szCs w:val="24"/>
        </w:rPr>
        <w:t>, college</w:t>
      </w:r>
      <w:r>
        <w:rPr>
          <w:szCs w:val="24"/>
        </w:rPr>
        <w:t>s</w:t>
      </w:r>
      <w:r w:rsidRPr="00AE47A1">
        <w:rPr>
          <w:szCs w:val="24"/>
        </w:rPr>
        <w:t xml:space="preserve"> or training provider</w:t>
      </w:r>
      <w:r>
        <w:rPr>
          <w:szCs w:val="24"/>
        </w:rPr>
        <w:t xml:space="preserve">s to offer any </w:t>
      </w:r>
      <w:r w:rsidRPr="00EB0FF1">
        <w:rPr>
          <w:szCs w:val="24"/>
        </w:rPr>
        <w:t>qualification</w:t>
      </w:r>
      <w:r>
        <w:rPr>
          <w:szCs w:val="24"/>
        </w:rPr>
        <w:t xml:space="preserve"> that i</w:t>
      </w:r>
      <w:r w:rsidRPr="00EB0FF1">
        <w:rPr>
          <w:szCs w:val="24"/>
        </w:rPr>
        <w:t xml:space="preserve">s </w:t>
      </w:r>
      <w:r>
        <w:rPr>
          <w:szCs w:val="24"/>
        </w:rPr>
        <w:t>regulate</w:t>
      </w:r>
      <w:r w:rsidRPr="00EB0FF1">
        <w:rPr>
          <w:szCs w:val="24"/>
        </w:rPr>
        <w:t xml:space="preserve">d by Ofqual and approved under </w:t>
      </w:r>
      <w:r>
        <w:rPr>
          <w:szCs w:val="24"/>
        </w:rPr>
        <w:t>s</w:t>
      </w:r>
      <w:r w:rsidRPr="00EB0FF1">
        <w:rPr>
          <w:szCs w:val="24"/>
        </w:rPr>
        <w:t xml:space="preserve">ection 96 of the Learning and Skills Act 2000. It is </w:t>
      </w:r>
      <w:r>
        <w:rPr>
          <w:szCs w:val="24"/>
        </w:rPr>
        <w:t xml:space="preserve">right </w:t>
      </w:r>
      <w:r w:rsidRPr="00EB0FF1">
        <w:rPr>
          <w:szCs w:val="24"/>
        </w:rPr>
        <w:t xml:space="preserve">that </w:t>
      </w:r>
      <w:r>
        <w:rPr>
          <w:szCs w:val="24"/>
        </w:rPr>
        <w:t xml:space="preserve">a wide range of </w:t>
      </w:r>
      <w:r w:rsidRPr="00EB0FF1">
        <w:rPr>
          <w:szCs w:val="24"/>
        </w:rPr>
        <w:t xml:space="preserve">qualifications remain available to </w:t>
      </w:r>
      <w:r>
        <w:rPr>
          <w:szCs w:val="24"/>
        </w:rPr>
        <w:t>meet</w:t>
      </w:r>
      <w:r w:rsidRPr="00EB0FF1">
        <w:rPr>
          <w:szCs w:val="24"/>
        </w:rPr>
        <w:t xml:space="preserve"> a</w:t>
      </w:r>
      <w:r>
        <w:rPr>
          <w:szCs w:val="24"/>
        </w:rPr>
        <w:t>n equally</w:t>
      </w:r>
      <w:r w:rsidRPr="00EB0FF1">
        <w:rPr>
          <w:szCs w:val="24"/>
        </w:rPr>
        <w:t xml:space="preserve"> wide range of </w:t>
      </w:r>
      <w:r>
        <w:rPr>
          <w:szCs w:val="24"/>
        </w:rPr>
        <w:t xml:space="preserve">student and employer </w:t>
      </w:r>
      <w:r w:rsidRPr="00EB0FF1">
        <w:rPr>
          <w:szCs w:val="24"/>
        </w:rPr>
        <w:t xml:space="preserve">needs, and that institutions </w:t>
      </w:r>
      <w:r>
        <w:rPr>
          <w:szCs w:val="24"/>
        </w:rPr>
        <w:t>can</w:t>
      </w:r>
      <w:r w:rsidRPr="00EB0FF1">
        <w:rPr>
          <w:szCs w:val="24"/>
        </w:rPr>
        <w:t xml:space="preserve"> </w:t>
      </w:r>
      <w:r>
        <w:rPr>
          <w:szCs w:val="24"/>
        </w:rPr>
        <w:t>continue to</w:t>
      </w:r>
      <w:r w:rsidRPr="00EB0FF1">
        <w:rPr>
          <w:szCs w:val="24"/>
        </w:rPr>
        <w:t xml:space="preserve"> </w:t>
      </w:r>
      <w:r>
        <w:rPr>
          <w:szCs w:val="24"/>
        </w:rPr>
        <w:t>offer</w:t>
      </w:r>
      <w:r w:rsidRPr="00EB0FF1">
        <w:rPr>
          <w:szCs w:val="24"/>
        </w:rPr>
        <w:t xml:space="preserve"> </w:t>
      </w:r>
      <w:r>
        <w:rPr>
          <w:szCs w:val="24"/>
        </w:rPr>
        <w:t xml:space="preserve">other </w:t>
      </w:r>
      <w:r w:rsidRPr="00EB0FF1">
        <w:rPr>
          <w:szCs w:val="24"/>
        </w:rPr>
        <w:t xml:space="preserve">qualifications </w:t>
      </w:r>
      <w:r>
        <w:rPr>
          <w:szCs w:val="24"/>
        </w:rPr>
        <w:t xml:space="preserve">where they </w:t>
      </w:r>
      <w:r w:rsidRPr="00EB0FF1">
        <w:rPr>
          <w:szCs w:val="24"/>
        </w:rPr>
        <w:t>are most suit</w:t>
      </w:r>
      <w:r>
        <w:rPr>
          <w:szCs w:val="24"/>
        </w:rPr>
        <w:t>ed to</w:t>
      </w:r>
      <w:r w:rsidRPr="00EB0FF1">
        <w:rPr>
          <w:szCs w:val="24"/>
        </w:rPr>
        <w:t xml:space="preserve"> their students’ interests and abilities.</w:t>
      </w:r>
      <w:r>
        <w:rPr>
          <w:szCs w:val="24"/>
        </w:rPr>
        <w:t xml:space="preserve"> </w:t>
      </w:r>
    </w:p>
    <w:p w14:paraId="1195F9E1" w14:textId="77777777" w:rsidR="007C1F93" w:rsidRPr="00FA4122" w:rsidRDefault="007C1F93" w:rsidP="00110E62">
      <w:pPr>
        <w:rPr>
          <w:color w:val="8064A2"/>
          <w:szCs w:val="24"/>
        </w:rPr>
      </w:pPr>
    </w:p>
    <w:p w14:paraId="2941EB8E" w14:textId="77777777" w:rsidR="00096FC8" w:rsidRDefault="007C1F93" w:rsidP="00096FC8">
      <w:pPr>
        <w:pStyle w:val="ListParagraph"/>
        <w:widowControl/>
        <w:overflowPunct/>
        <w:autoSpaceDE/>
        <w:autoSpaceDN/>
        <w:adjustRightInd/>
        <w:spacing w:after="240"/>
        <w:ind w:left="0"/>
        <w:contextualSpacing w:val="0"/>
        <w:textAlignment w:val="auto"/>
        <w:rPr>
          <w:rFonts w:eastAsia="Calibri" w:cs="Arial"/>
          <w:szCs w:val="24"/>
        </w:rPr>
      </w:pPr>
      <w:r>
        <w:rPr>
          <w:rFonts w:eastAsia="Calibri" w:cs="Arial"/>
          <w:szCs w:val="24"/>
        </w:rPr>
        <w:t xml:space="preserve">This consultation applies to qualifications awarded to students studying in England. Welsh, Scottish and Northern Irish educational reform is a devolved administration responsibility. </w:t>
      </w:r>
    </w:p>
    <w:p w14:paraId="16F01742" w14:textId="77777777" w:rsidR="00096FC8" w:rsidRDefault="00096FC8">
      <w:pPr>
        <w:rPr>
          <w:b/>
          <w:szCs w:val="24"/>
        </w:rPr>
      </w:pPr>
      <w:r>
        <w:rPr>
          <w:b/>
          <w:szCs w:val="24"/>
        </w:rPr>
        <w:br w:type="page"/>
      </w:r>
    </w:p>
    <w:p w14:paraId="2C0D9F4D" w14:textId="68D0378D" w:rsidR="007C1F93" w:rsidRDefault="007C1F93" w:rsidP="00096FC8">
      <w:pPr>
        <w:pStyle w:val="ListParagraph"/>
        <w:widowControl/>
        <w:overflowPunct/>
        <w:autoSpaceDE/>
        <w:autoSpaceDN/>
        <w:adjustRightInd/>
        <w:spacing w:after="240"/>
        <w:ind w:left="0"/>
        <w:contextualSpacing w:val="0"/>
        <w:textAlignment w:val="auto"/>
        <w:rPr>
          <w:rFonts w:eastAsia="Calibri" w:cs="Arial"/>
          <w:b/>
          <w:szCs w:val="24"/>
        </w:rPr>
      </w:pPr>
      <w:r w:rsidRPr="00222067">
        <w:rPr>
          <w:rFonts w:eastAsia="Calibri" w:cs="Arial"/>
          <w:b/>
          <w:szCs w:val="24"/>
        </w:rPr>
        <w:lastRenderedPageBreak/>
        <w:t>Summary of key proposed changes</w:t>
      </w:r>
    </w:p>
    <w:p w14:paraId="57BAAC23" w14:textId="03C120B3" w:rsidR="007C1F93" w:rsidRDefault="007C1F93" w:rsidP="00110E62">
      <w:pPr>
        <w:pStyle w:val="ListParagraph"/>
        <w:widowControl/>
        <w:pBdr>
          <w:top w:val="single" w:sz="4" w:space="1" w:color="auto"/>
          <w:left w:val="single" w:sz="4" w:space="1" w:color="auto"/>
          <w:bottom w:val="single" w:sz="4" w:space="1" w:color="auto"/>
          <w:right w:val="single" w:sz="4" w:space="1" w:color="auto"/>
        </w:pBdr>
        <w:overflowPunct/>
        <w:autoSpaceDE/>
        <w:autoSpaceDN/>
        <w:adjustRightInd/>
        <w:spacing w:after="240"/>
        <w:ind w:left="0"/>
        <w:contextualSpacing w:val="0"/>
        <w:textAlignment w:val="auto"/>
        <w:rPr>
          <w:rFonts w:eastAsia="Calibri" w:cs="Arial"/>
          <w:szCs w:val="24"/>
        </w:rPr>
      </w:pPr>
      <w:r w:rsidRPr="00DE1792">
        <w:rPr>
          <w:rFonts w:eastAsia="Calibri" w:cs="Arial"/>
          <w:szCs w:val="24"/>
        </w:rPr>
        <w:t xml:space="preserve">There will be two </w:t>
      </w:r>
      <w:r w:rsidR="00F56C3F">
        <w:rPr>
          <w:rFonts w:eastAsia="Calibri" w:cs="Arial"/>
          <w:szCs w:val="24"/>
        </w:rPr>
        <w:t>categories</w:t>
      </w:r>
      <w:r w:rsidRPr="00DE1792">
        <w:rPr>
          <w:rFonts w:eastAsia="Calibri" w:cs="Arial"/>
          <w:szCs w:val="24"/>
        </w:rPr>
        <w:t xml:space="preserve"> of vocational qualification</w:t>
      </w:r>
      <w:r>
        <w:rPr>
          <w:rFonts w:eastAsia="Calibri" w:cs="Arial"/>
          <w:szCs w:val="24"/>
        </w:rPr>
        <w:t xml:space="preserve"> –</w:t>
      </w:r>
      <w:r w:rsidRPr="00DE1792">
        <w:rPr>
          <w:rFonts w:eastAsia="Calibri" w:cs="Arial"/>
          <w:szCs w:val="24"/>
        </w:rPr>
        <w:t xml:space="preserve"> those specialist qualifications which </w:t>
      </w:r>
      <w:r>
        <w:rPr>
          <w:rFonts w:eastAsia="Calibri" w:cs="Arial"/>
          <w:szCs w:val="24"/>
        </w:rPr>
        <w:t xml:space="preserve">equip a young person for a </w:t>
      </w:r>
      <w:r w:rsidRPr="00DE1792">
        <w:rPr>
          <w:rFonts w:eastAsia="Calibri" w:cs="Arial"/>
          <w:szCs w:val="24"/>
        </w:rPr>
        <w:t xml:space="preserve">skilled trade or </w:t>
      </w:r>
      <w:r>
        <w:rPr>
          <w:rFonts w:eastAsia="Calibri" w:cs="Arial"/>
          <w:szCs w:val="24"/>
        </w:rPr>
        <w:t>occupation,</w:t>
      </w:r>
      <w:r w:rsidRPr="00DE1792">
        <w:rPr>
          <w:rFonts w:eastAsia="Calibri" w:cs="Arial"/>
          <w:szCs w:val="24"/>
        </w:rPr>
        <w:t xml:space="preserve"> </w:t>
      </w:r>
      <w:r>
        <w:rPr>
          <w:rFonts w:eastAsia="Calibri" w:cs="Arial"/>
          <w:szCs w:val="24"/>
        </w:rPr>
        <w:t>either directly or through progression</w:t>
      </w:r>
      <w:r>
        <w:rPr>
          <w:szCs w:val="24"/>
        </w:rPr>
        <w:t xml:space="preserve"> to a higher education qualification </w:t>
      </w:r>
      <w:r w:rsidRPr="00DE1792">
        <w:rPr>
          <w:rFonts w:eastAsia="Calibri" w:cs="Arial"/>
          <w:szCs w:val="24"/>
        </w:rPr>
        <w:t>(</w:t>
      </w:r>
      <w:r>
        <w:rPr>
          <w:rFonts w:eastAsia="Calibri" w:cs="Arial"/>
          <w:szCs w:val="24"/>
        </w:rPr>
        <w:t>‘</w:t>
      </w:r>
      <w:r w:rsidR="005D20F2">
        <w:rPr>
          <w:rFonts w:eastAsia="Calibri" w:cs="Arial"/>
          <w:szCs w:val="24"/>
        </w:rPr>
        <w:t>O</w:t>
      </w:r>
      <w:r w:rsidRPr="00DE1792">
        <w:rPr>
          <w:rFonts w:eastAsia="Calibri" w:cs="Arial"/>
          <w:szCs w:val="24"/>
        </w:rPr>
        <w:t>ccupation</w:t>
      </w:r>
      <w:r>
        <w:rPr>
          <w:rFonts w:eastAsia="Calibri" w:cs="Arial"/>
          <w:szCs w:val="24"/>
        </w:rPr>
        <w:t xml:space="preserve">al </w:t>
      </w:r>
      <w:r w:rsidR="005D20F2">
        <w:rPr>
          <w:rFonts w:eastAsia="Calibri" w:cs="Arial"/>
          <w:szCs w:val="24"/>
        </w:rPr>
        <w:t>Q</w:t>
      </w:r>
      <w:r>
        <w:rPr>
          <w:rFonts w:eastAsia="Calibri" w:cs="Arial"/>
          <w:szCs w:val="24"/>
        </w:rPr>
        <w:t>ualifications’);</w:t>
      </w:r>
      <w:r w:rsidRPr="00DE1792">
        <w:rPr>
          <w:rFonts w:eastAsia="Calibri" w:cs="Arial"/>
          <w:szCs w:val="24"/>
        </w:rPr>
        <w:t xml:space="preserve"> and more general vocational qualifications </w:t>
      </w:r>
      <w:r>
        <w:rPr>
          <w:rFonts w:eastAsia="Calibri" w:cs="Arial"/>
          <w:szCs w:val="24"/>
        </w:rPr>
        <w:t xml:space="preserve">whose primary purpose is to enable progression to further study, including higher education </w:t>
      </w:r>
      <w:r w:rsidRPr="00DE1792">
        <w:rPr>
          <w:rFonts w:eastAsia="Calibri" w:cs="Arial"/>
          <w:szCs w:val="24"/>
        </w:rPr>
        <w:t>(</w:t>
      </w:r>
      <w:r>
        <w:rPr>
          <w:rFonts w:eastAsia="Calibri" w:cs="Arial"/>
          <w:szCs w:val="24"/>
        </w:rPr>
        <w:t>‘</w:t>
      </w:r>
      <w:r w:rsidR="005D20F2">
        <w:rPr>
          <w:rFonts w:eastAsia="Calibri" w:cs="Arial"/>
          <w:szCs w:val="24"/>
        </w:rPr>
        <w:t>A</w:t>
      </w:r>
      <w:r w:rsidRPr="00DE1792">
        <w:rPr>
          <w:rFonts w:eastAsia="Calibri" w:cs="Arial"/>
          <w:szCs w:val="24"/>
        </w:rPr>
        <w:t xml:space="preserve">pplied </w:t>
      </w:r>
      <w:r w:rsidR="005D20F2">
        <w:rPr>
          <w:rFonts w:eastAsia="Calibri" w:cs="Arial"/>
          <w:szCs w:val="24"/>
        </w:rPr>
        <w:t>G</w:t>
      </w:r>
      <w:r w:rsidRPr="00DE1792">
        <w:rPr>
          <w:rFonts w:eastAsia="Calibri" w:cs="Arial"/>
          <w:szCs w:val="24"/>
        </w:rPr>
        <w:t>eneral</w:t>
      </w:r>
      <w:r>
        <w:rPr>
          <w:rFonts w:eastAsia="Calibri" w:cs="Arial"/>
          <w:szCs w:val="24"/>
        </w:rPr>
        <w:t xml:space="preserve"> </w:t>
      </w:r>
      <w:r w:rsidR="005D20F2">
        <w:rPr>
          <w:rFonts w:eastAsia="Calibri" w:cs="Arial"/>
          <w:szCs w:val="24"/>
        </w:rPr>
        <w:t>Q</w:t>
      </w:r>
      <w:r>
        <w:rPr>
          <w:rFonts w:eastAsia="Calibri" w:cs="Arial"/>
          <w:szCs w:val="24"/>
        </w:rPr>
        <w:t>ualifications’</w:t>
      </w:r>
      <w:r w:rsidRPr="00DE1792">
        <w:rPr>
          <w:rFonts w:eastAsia="Calibri" w:cs="Arial"/>
          <w:szCs w:val="24"/>
        </w:rPr>
        <w:t>)</w:t>
      </w:r>
      <w:r>
        <w:rPr>
          <w:rFonts w:eastAsia="Calibri" w:cs="Arial"/>
          <w:szCs w:val="24"/>
        </w:rPr>
        <w:t xml:space="preserve">. </w:t>
      </w:r>
      <w:r w:rsidR="007D2A7D">
        <w:rPr>
          <w:rFonts w:eastAsia="Calibri" w:cs="Arial"/>
          <w:szCs w:val="24"/>
        </w:rPr>
        <w:t>Applied</w:t>
      </w:r>
      <w:r w:rsidR="0032323D">
        <w:rPr>
          <w:rFonts w:eastAsia="Calibri" w:cs="Arial"/>
          <w:szCs w:val="24"/>
        </w:rPr>
        <w:t xml:space="preserve"> </w:t>
      </w:r>
      <w:r w:rsidR="005D20F2">
        <w:rPr>
          <w:rFonts w:eastAsia="Calibri" w:cs="Arial"/>
          <w:szCs w:val="24"/>
        </w:rPr>
        <w:t>General Q</w:t>
      </w:r>
      <w:r w:rsidR="0032323D">
        <w:rPr>
          <w:rFonts w:eastAsia="Calibri" w:cs="Arial"/>
          <w:szCs w:val="24"/>
        </w:rPr>
        <w:t>ualifications</w:t>
      </w:r>
      <w:r>
        <w:rPr>
          <w:rFonts w:cs="Arial"/>
          <w:szCs w:val="24"/>
        </w:rPr>
        <w:t xml:space="preserve"> </w:t>
      </w:r>
      <w:r>
        <w:rPr>
          <w:rFonts w:eastAsia="Calibri" w:cs="Arial"/>
          <w:szCs w:val="24"/>
        </w:rPr>
        <w:t xml:space="preserve">will </w:t>
      </w:r>
      <w:r w:rsidRPr="00A82510">
        <w:rPr>
          <w:rStyle w:val="Emphasis"/>
          <w:i w:val="0"/>
          <w:iCs w:val="0"/>
        </w:rPr>
        <w:t>not</w:t>
      </w:r>
      <w:r>
        <w:rPr>
          <w:rStyle w:val="Emphasis"/>
          <w:i w:val="0"/>
          <w:iCs w:val="0"/>
        </w:rPr>
        <w:t xml:space="preserve"> </w:t>
      </w:r>
      <w:r w:rsidRPr="00A82510">
        <w:rPr>
          <w:rStyle w:val="Emphasis"/>
          <w:i w:val="0"/>
          <w:iCs w:val="0"/>
        </w:rPr>
        <w:t>prepare students</w:t>
      </w:r>
      <w:r>
        <w:rPr>
          <w:rStyle w:val="Emphasis"/>
          <w:i w:val="0"/>
          <w:iCs w:val="0"/>
        </w:rPr>
        <w:t xml:space="preserve"> directly</w:t>
      </w:r>
      <w:r w:rsidRPr="00A82510">
        <w:rPr>
          <w:rStyle w:val="Emphasis"/>
          <w:i w:val="0"/>
          <w:iCs w:val="0"/>
        </w:rPr>
        <w:t xml:space="preserve"> for a specific occupation</w:t>
      </w:r>
      <w:r w:rsidRPr="00DE1792">
        <w:rPr>
          <w:rFonts w:eastAsia="Calibri" w:cs="Arial"/>
          <w:szCs w:val="24"/>
        </w:rPr>
        <w:t>.</w:t>
      </w:r>
    </w:p>
    <w:p w14:paraId="70279DC7" w14:textId="480AABA3" w:rsidR="00676BBD" w:rsidRDefault="00676BBD" w:rsidP="00676BBD">
      <w:pPr>
        <w:pBdr>
          <w:top w:val="single" w:sz="4" w:space="1" w:color="auto"/>
          <w:left w:val="single" w:sz="4" w:space="1" w:color="auto"/>
          <w:bottom w:val="single" w:sz="4" w:space="1" w:color="auto"/>
          <w:right w:val="single" w:sz="4" w:space="1" w:color="auto"/>
        </w:pBdr>
        <w:spacing w:after="240"/>
        <w:rPr>
          <w:szCs w:val="24"/>
        </w:rPr>
      </w:pPr>
      <w:r w:rsidRPr="00676BBD">
        <w:rPr>
          <w:szCs w:val="24"/>
        </w:rPr>
        <w:t>The consultation proposes to end the practice of counting all vocational qualifications as ‘equivalent’ in school and college performance tables. A levels and vocational qualifications</w:t>
      </w:r>
      <w:r w:rsidR="00C37C91">
        <w:rPr>
          <w:szCs w:val="24"/>
        </w:rPr>
        <w:t xml:space="preserve"> are already due to be</w:t>
      </w:r>
      <w:r w:rsidRPr="00676BBD">
        <w:rPr>
          <w:szCs w:val="24"/>
        </w:rPr>
        <w:t xml:space="preserve"> reported separately</w:t>
      </w:r>
      <w:r w:rsidR="00C37C91" w:rsidRPr="00C37C91">
        <w:rPr>
          <w:szCs w:val="24"/>
        </w:rPr>
        <w:t xml:space="preserve"> </w:t>
      </w:r>
      <w:r w:rsidR="00C37C91">
        <w:rPr>
          <w:szCs w:val="24"/>
        </w:rPr>
        <w:t>2</w:t>
      </w:r>
      <w:r w:rsidR="00C37C91" w:rsidRPr="00C37C91">
        <w:rPr>
          <w:szCs w:val="24"/>
        </w:rPr>
        <w:t>013</w:t>
      </w:r>
      <w:r w:rsidRPr="00676BBD">
        <w:rPr>
          <w:szCs w:val="24"/>
        </w:rPr>
        <w:t>. From 2016, vocational qualifications will be reported as Applied General Qualifications and Occupational Qualifications, to ensure a proper understanding of how vocational qualifications measure up against each other, and to provide a clear picture of how institutions are performing in different areas of their provision.</w:t>
      </w:r>
    </w:p>
    <w:p w14:paraId="2B134C3F" w14:textId="01264457" w:rsidR="007C1F93" w:rsidRDefault="007C1F93" w:rsidP="00110E62">
      <w:pPr>
        <w:pStyle w:val="ListParagraph"/>
        <w:widowControl/>
        <w:pBdr>
          <w:top w:val="single" w:sz="4" w:space="1" w:color="auto"/>
          <w:left w:val="single" w:sz="4" w:space="1" w:color="auto"/>
          <w:bottom w:val="single" w:sz="4" w:space="1" w:color="auto"/>
          <w:right w:val="single" w:sz="4" w:space="1" w:color="auto"/>
        </w:pBdr>
        <w:overflowPunct/>
        <w:autoSpaceDE/>
        <w:autoSpaceDN/>
        <w:adjustRightInd/>
        <w:spacing w:after="240"/>
        <w:ind w:left="0"/>
        <w:contextualSpacing w:val="0"/>
        <w:textAlignment w:val="auto"/>
        <w:rPr>
          <w:rFonts w:cs="Arial"/>
          <w:color w:val="000000"/>
          <w:szCs w:val="24"/>
          <w:lang w:val="en"/>
        </w:rPr>
      </w:pPr>
      <w:r w:rsidRPr="00DE1792">
        <w:rPr>
          <w:rFonts w:eastAsia="Calibri" w:cs="Arial"/>
          <w:szCs w:val="24"/>
        </w:rPr>
        <w:t xml:space="preserve">Awarding </w:t>
      </w:r>
      <w:r>
        <w:rPr>
          <w:rFonts w:eastAsia="Calibri" w:cs="Arial"/>
          <w:szCs w:val="24"/>
        </w:rPr>
        <w:t>o</w:t>
      </w:r>
      <w:r w:rsidRPr="00DE1792">
        <w:rPr>
          <w:rFonts w:eastAsia="Calibri" w:cs="Arial"/>
          <w:szCs w:val="24"/>
        </w:rPr>
        <w:t xml:space="preserve">rganisations </w:t>
      </w:r>
      <w:r>
        <w:rPr>
          <w:rFonts w:eastAsia="Calibri" w:cs="Arial"/>
          <w:szCs w:val="24"/>
        </w:rPr>
        <w:t xml:space="preserve">who wish their qualification to continue to be reported in school performance tables </w:t>
      </w:r>
      <w:r w:rsidRPr="00DE1792">
        <w:rPr>
          <w:rFonts w:eastAsia="Calibri" w:cs="Arial"/>
          <w:szCs w:val="24"/>
        </w:rPr>
        <w:t xml:space="preserve">will </w:t>
      </w:r>
      <w:r>
        <w:rPr>
          <w:rFonts w:eastAsia="Calibri" w:cs="Arial"/>
          <w:szCs w:val="24"/>
        </w:rPr>
        <w:t xml:space="preserve">be required to identify the category in which they are seeking a qualification to be placed. Each </w:t>
      </w:r>
      <w:r w:rsidRPr="00DE1792">
        <w:rPr>
          <w:rFonts w:eastAsia="Calibri" w:cs="Arial"/>
          <w:szCs w:val="24"/>
        </w:rPr>
        <w:t>qualification will th</w:t>
      </w:r>
      <w:r>
        <w:rPr>
          <w:rFonts w:eastAsia="Calibri" w:cs="Arial"/>
          <w:szCs w:val="24"/>
        </w:rPr>
        <w:t xml:space="preserve">en be judged against a series of characteristics to ensure only qualifications that are of </w:t>
      </w:r>
      <w:r w:rsidRPr="00DA04F9">
        <w:rPr>
          <w:rFonts w:cs="Arial"/>
          <w:color w:val="000000"/>
          <w:szCs w:val="24"/>
          <w:lang w:val="en"/>
        </w:rPr>
        <w:t xml:space="preserve">demonstrably high </w:t>
      </w:r>
      <w:r>
        <w:rPr>
          <w:rFonts w:cs="Arial"/>
          <w:color w:val="000000"/>
          <w:szCs w:val="24"/>
          <w:lang w:val="en"/>
        </w:rPr>
        <w:t>value, which</w:t>
      </w:r>
      <w:r w:rsidRPr="00DA04F9">
        <w:rPr>
          <w:rFonts w:cs="Arial"/>
          <w:color w:val="000000"/>
          <w:szCs w:val="24"/>
          <w:lang w:val="en"/>
        </w:rPr>
        <w:t xml:space="preserve"> support progression to further study or a go</w:t>
      </w:r>
      <w:r>
        <w:rPr>
          <w:rFonts w:cs="Arial"/>
          <w:color w:val="000000"/>
          <w:szCs w:val="24"/>
          <w:lang w:val="en"/>
        </w:rPr>
        <w:t xml:space="preserve">od job, count in performance tables. </w:t>
      </w:r>
      <w:r>
        <w:rPr>
          <w:rFonts w:cs="Arial"/>
          <w:szCs w:val="24"/>
        </w:rPr>
        <w:t>T</w:t>
      </w:r>
      <w:r w:rsidRPr="00DE1792">
        <w:rPr>
          <w:rFonts w:cs="Arial"/>
          <w:szCs w:val="24"/>
        </w:rPr>
        <w:t xml:space="preserve">he Government will publish </w:t>
      </w:r>
      <w:r>
        <w:rPr>
          <w:rFonts w:cs="Arial"/>
          <w:szCs w:val="24"/>
        </w:rPr>
        <w:t>a</w:t>
      </w:r>
      <w:r w:rsidRPr="00DE1792">
        <w:rPr>
          <w:rFonts w:cs="Arial"/>
          <w:szCs w:val="24"/>
        </w:rPr>
        <w:t xml:space="preserve"> list of high value 16-19 vocational qualifications</w:t>
      </w:r>
      <w:r>
        <w:rPr>
          <w:rFonts w:cs="Arial"/>
          <w:szCs w:val="24"/>
        </w:rPr>
        <w:t xml:space="preserve"> from a</w:t>
      </w:r>
      <w:r w:rsidRPr="00DE1792">
        <w:rPr>
          <w:rFonts w:cs="Arial"/>
          <w:szCs w:val="24"/>
        </w:rPr>
        <w:t>utumn 2013</w:t>
      </w:r>
      <w:r>
        <w:rPr>
          <w:rFonts w:cs="Arial"/>
          <w:szCs w:val="24"/>
        </w:rPr>
        <w:t xml:space="preserve"> and annually thereafter</w:t>
      </w:r>
      <w:r w:rsidRPr="00DE1792">
        <w:rPr>
          <w:rFonts w:cs="Arial"/>
          <w:szCs w:val="24"/>
        </w:rPr>
        <w:t>,</w:t>
      </w:r>
      <w:r w:rsidR="0032323D">
        <w:rPr>
          <w:rFonts w:cs="Arial"/>
          <w:szCs w:val="24"/>
        </w:rPr>
        <w:t xml:space="preserve"> as we have done for 14-16 year </w:t>
      </w:r>
      <w:r w:rsidRPr="00DE1792">
        <w:rPr>
          <w:rFonts w:cs="Arial"/>
          <w:szCs w:val="24"/>
        </w:rPr>
        <w:t>olds</w:t>
      </w:r>
      <w:r>
        <w:rPr>
          <w:rFonts w:cs="Arial"/>
          <w:szCs w:val="24"/>
        </w:rPr>
        <w:t xml:space="preserve"> since 2011</w:t>
      </w:r>
      <w:r w:rsidRPr="00DE1792">
        <w:rPr>
          <w:rFonts w:cs="Arial"/>
          <w:szCs w:val="24"/>
        </w:rPr>
        <w:t>.</w:t>
      </w:r>
    </w:p>
    <w:p w14:paraId="0255CF3A" w14:textId="77777777" w:rsidR="007C1F93" w:rsidRPr="0010288A" w:rsidRDefault="007C1F93" w:rsidP="007C1F93">
      <w:pPr>
        <w:rPr>
          <w:szCs w:val="24"/>
        </w:rPr>
      </w:pPr>
    </w:p>
    <w:p w14:paraId="30FB917A" w14:textId="77777777" w:rsidR="007C1F93" w:rsidRPr="005878B8" w:rsidRDefault="007C1F93" w:rsidP="007C1F93">
      <w:pPr>
        <w:rPr>
          <w:b/>
          <w:szCs w:val="24"/>
        </w:rPr>
      </w:pPr>
      <w:r>
        <w:rPr>
          <w:b/>
          <w:sz w:val="28"/>
          <w:szCs w:val="28"/>
        </w:rPr>
        <w:br w:type="page"/>
      </w:r>
      <w:r>
        <w:rPr>
          <w:b/>
          <w:sz w:val="28"/>
          <w:szCs w:val="28"/>
        </w:rPr>
        <w:lastRenderedPageBreak/>
        <w:t xml:space="preserve">Section </w:t>
      </w:r>
      <w:r w:rsidRPr="000F06CD">
        <w:rPr>
          <w:b/>
          <w:sz w:val="28"/>
          <w:szCs w:val="28"/>
        </w:rPr>
        <w:t>1: The case for change</w:t>
      </w:r>
      <w:r>
        <w:rPr>
          <w:b/>
          <w:sz w:val="28"/>
          <w:szCs w:val="28"/>
        </w:rPr>
        <w:t xml:space="preserve"> </w:t>
      </w:r>
    </w:p>
    <w:p w14:paraId="3E08D202" w14:textId="77777777" w:rsidR="007C1F93" w:rsidRPr="00A20DC4" w:rsidRDefault="007C1F93" w:rsidP="007C1F93">
      <w:pPr>
        <w:rPr>
          <w:b/>
          <w:sz w:val="28"/>
          <w:szCs w:val="28"/>
        </w:rPr>
      </w:pPr>
    </w:p>
    <w:p w14:paraId="736D7BA7" w14:textId="5E0DC44A" w:rsidR="007C1F93" w:rsidRDefault="007E001E" w:rsidP="00B942C0">
      <w:pPr>
        <w:numPr>
          <w:ilvl w:val="0"/>
          <w:numId w:val="23"/>
        </w:numPr>
        <w:ind w:left="709" w:hanging="709"/>
      </w:pPr>
      <w:r>
        <w:t>59</w:t>
      </w:r>
      <w:r w:rsidR="007C1F93">
        <w:t xml:space="preserve">% of 16-18 year olds in 2011 were in full-time education (excluding HE), with the majority of those (78%) studying courses at Level 3. </w:t>
      </w:r>
      <w:r w:rsidR="007C1F93" w:rsidRPr="00582866">
        <w:t>T</w:t>
      </w:r>
      <w:r w:rsidR="001E067B">
        <w:t>he number of students taking A</w:t>
      </w:r>
      <w:r w:rsidR="007C1F93" w:rsidRPr="00582866">
        <w:t xml:space="preserve"> levels has risen from 530,900 in 1995 to 6</w:t>
      </w:r>
      <w:r>
        <w:t>28</w:t>
      </w:r>
      <w:r w:rsidR="007C1F93" w:rsidRPr="00582866">
        <w:t>,200 in 201</w:t>
      </w:r>
      <w:r>
        <w:t>1</w:t>
      </w:r>
      <w:r w:rsidR="007C1F93" w:rsidRPr="00582866">
        <w:t xml:space="preserve"> – an increase of </w:t>
      </w:r>
      <w:r>
        <w:t>18</w:t>
      </w:r>
      <w:r w:rsidR="007C1F93" w:rsidRPr="00582866">
        <w:t>%. Over the same period, the number of students taking Level 3 vocational qualifications has risen from 93,</w:t>
      </w:r>
      <w:r w:rsidR="00480C6B">
        <w:t>8</w:t>
      </w:r>
      <w:r w:rsidR="007C1F93" w:rsidRPr="00582866">
        <w:t>00 to 27</w:t>
      </w:r>
      <w:r w:rsidR="00480C6B">
        <w:t>8</w:t>
      </w:r>
      <w:r w:rsidR="0032323D">
        <w:t>,</w:t>
      </w:r>
      <w:r w:rsidR="00480C6B">
        <w:t>2</w:t>
      </w:r>
      <w:r w:rsidR="0032323D">
        <w:t>00 – an increase of 19</w:t>
      </w:r>
      <w:r w:rsidR="00480C6B">
        <w:t>7</w:t>
      </w:r>
      <w:r w:rsidR="0032323D">
        <w:t>%</w:t>
      </w:r>
      <w:r w:rsidR="007C1F93">
        <w:rPr>
          <w:rStyle w:val="FootnoteReference"/>
        </w:rPr>
        <w:footnoteReference w:id="6"/>
      </w:r>
      <w:r w:rsidR="0032323D">
        <w:t>.</w:t>
      </w:r>
      <w:r w:rsidR="007C1F93" w:rsidRPr="00582866">
        <w:t xml:space="preserve"> </w:t>
      </w:r>
    </w:p>
    <w:p w14:paraId="4A2DA935" w14:textId="77777777" w:rsidR="007C1F93" w:rsidRDefault="007C1F93" w:rsidP="007C1F93">
      <w:pPr>
        <w:ind w:left="644"/>
      </w:pPr>
      <w:r w:rsidRPr="00582866">
        <w:t xml:space="preserve"> </w:t>
      </w:r>
    </w:p>
    <w:p w14:paraId="54C1338A" w14:textId="60CD60F1" w:rsidR="007C1F93" w:rsidRDefault="007C1F93" w:rsidP="00B942C0">
      <w:pPr>
        <w:widowControl w:val="0"/>
        <w:numPr>
          <w:ilvl w:val="0"/>
          <w:numId w:val="23"/>
        </w:numPr>
        <w:overflowPunct w:val="0"/>
        <w:autoSpaceDE w:val="0"/>
        <w:autoSpaceDN w:val="0"/>
        <w:adjustRightInd w:val="0"/>
        <w:ind w:left="709" w:hanging="709"/>
        <w:textAlignment w:val="baseline"/>
      </w:pPr>
      <w:r>
        <w:t>An increasingly common choic</w:t>
      </w:r>
      <w:r w:rsidR="001E067B">
        <w:t>e is for students to combine A</w:t>
      </w:r>
      <w:r>
        <w:t xml:space="preserve"> levels with vocational qualifications.  In 2011, students following a </w:t>
      </w:r>
      <w:r w:rsidR="001E067B">
        <w:t>purely academic programme of A</w:t>
      </w:r>
      <w:r>
        <w:t xml:space="preserve"> levels or similar qualifications (i.e. International Baccalaureate, Pre-U, AQA Baccalaureate) represented 54% of 16-18 year olds studying full-time at Level 3, with </w:t>
      </w:r>
      <w:r w:rsidR="007D2A7D">
        <w:t>28</w:t>
      </w:r>
      <w:r>
        <w:t xml:space="preserve">% taking only vocational courses, and </w:t>
      </w:r>
      <w:r w:rsidR="007D2A7D">
        <w:t>21</w:t>
      </w:r>
      <w:r>
        <w:t>% taking a mix of academic and vocational qualifications. Separate data on exam entries shows that the proportion of students entered for purely academic qualifications has been in steady decline in recent years – from 70% in 2008 to 51% in 2012.</w:t>
      </w:r>
      <w:r>
        <w:rPr>
          <w:rStyle w:val="FootnoteReference"/>
        </w:rPr>
        <w:footnoteReference w:id="7"/>
      </w:r>
      <w:r>
        <w:t xml:space="preserve"> </w:t>
      </w:r>
    </w:p>
    <w:p w14:paraId="7441BF3F" w14:textId="77777777" w:rsidR="000A4CDE" w:rsidRDefault="000A4CDE" w:rsidP="000A4CDE">
      <w:pPr>
        <w:rPr>
          <w:b/>
          <w:bCs/>
        </w:rPr>
      </w:pPr>
    </w:p>
    <w:p w14:paraId="1952BB5E" w14:textId="1DE7E774" w:rsidR="000A4CDE" w:rsidRDefault="000A4CDE" w:rsidP="000A4CDE">
      <w:pPr>
        <w:ind w:left="709"/>
        <w:rPr>
          <w:b/>
          <w:bCs/>
        </w:rPr>
      </w:pPr>
      <w:r>
        <w:rPr>
          <w:b/>
          <w:bCs/>
        </w:rPr>
        <w:t>Qualifications achieved by 16-18 year-olds in 201</w:t>
      </w:r>
      <w:r w:rsidR="007E001E">
        <w:rPr>
          <w:b/>
          <w:bCs/>
        </w:rPr>
        <w:t>2</w:t>
      </w:r>
    </w:p>
    <w:p w14:paraId="15EAB2C8" w14:textId="77777777" w:rsidR="000A4CDE" w:rsidRDefault="000A4CDE" w:rsidP="000A4CDE">
      <w:pPr>
        <w:ind w:left="709"/>
        <w:rPr>
          <w:noProof/>
          <w:lang w:eastAsia="en-GB"/>
        </w:rPr>
      </w:pPr>
    </w:p>
    <w:p w14:paraId="67D96DE2" w14:textId="77777777" w:rsidR="000A4CDE" w:rsidRDefault="000A4CDE" w:rsidP="000A4CDE">
      <w:pPr>
        <w:ind w:left="709"/>
        <w:rPr>
          <w:noProof/>
          <w:lang w:eastAsia="en-GB"/>
        </w:rPr>
      </w:pPr>
      <w:r>
        <w:rPr>
          <w:noProof/>
          <w:lang w:eastAsia="en-GB"/>
        </w:rPr>
        <w:drawing>
          <wp:inline distT="0" distB="0" distL="0" distR="0" wp14:anchorId="313ABF35" wp14:editId="516DD897">
            <wp:extent cx="5241701" cy="2292439"/>
            <wp:effectExtent l="0" t="0" r="1651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595F08" w14:textId="77777777" w:rsidR="000A4CDE" w:rsidRDefault="000A4CDE" w:rsidP="000A4CDE">
      <w:pPr>
        <w:ind w:left="709"/>
        <w:rPr>
          <w:noProof/>
          <w:lang w:eastAsia="en-GB"/>
        </w:rPr>
      </w:pPr>
    </w:p>
    <w:tbl>
      <w:tblPr>
        <w:tblW w:w="6379" w:type="dxa"/>
        <w:tblInd w:w="817" w:type="dxa"/>
        <w:tblLook w:val="04A0" w:firstRow="1" w:lastRow="0" w:firstColumn="1" w:lastColumn="0" w:noHBand="0" w:noVBand="1"/>
      </w:tblPr>
      <w:tblGrid>
        <w:gridCol w:w="3686"/>
        <w:gridCol w:w="1417"/>
        <w:gridCol w:w="1276"/>
      </w:tblGrid>
      <w:tr w:rsidR="000A4CDE" w:rsidRPr="004A4EBE" w14:paraId="708E83D2" w14:textId="77777777" w:rsidTr="00D251D8">
        <w:trPr>
          <w:trHeight w:val="271"/>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F66E9" w14:textId="77777777" w:rsidR="000A4CDE" w:rsidRPr="004A4EBE" w:rsidRDefault="000A4CDE" w:rsidP="00D251D8">
            <w:pPr>
              <w:jc w:val="center"/>
              <w:rPr>
                <w:b/>
                <w:bCs/>
                <w:color w:val="000000"/>
                <w:sz w:val="22"/>
                <w:szCs w:val="22"/>
                <w:lang w:eastAsia="en-GB"/>
              </w:rPr>
            </w:pPr>
            <w:r w:rsidRPr="004A4EBE">
              <w:rPr>
                <w:b/>
                <w:bCs/>
                <w:color w:val="000000"/>
                <w:sz w:val="22"/>
                <w:szCs w:val="22"/>
                <w:lang w:eastAsia="en-GB"/>
              </w:rPr>
              <w:t>Level 3 Qualification Type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3BCA8A" w14:textId="77777777" w:rsidR="000A4CDE" w:rsidRPr="004A4EBE" w:rsidRDefault="000A4CDE" w:rsidP="00D251D8">
            <w:pPr>
              <w:jc w:val="center"/>
              <w:rPr>
                <w:b/>
                <w:bCs/>
                <w:color w:val="000000"/>
                <w:sz w:val="22"/>
                <w:szCs w:val="22"/>
                <w:lang w:eastAsia="en-GB"/>
              </w:rPr>
            </w:pPr>
            <w:r w:rsidRPr="004A4EBE">
              <w:rPr>
                <w:b/>
                <w:bCs/>
                <w:color w:val="000000"/>
                <w:sz w:val="22"/>
                <w:szCs w:val="22"/>
                <w:lang w:eastAsia="en-GB"/>
              </w:rPr>
              <w:t>Number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4D5FE6E" w14:textId="77777777" w:rsidR="000A4CDE" w:rsidRPr="004A4EBE" w:rsidRDefault="000A4CDE" w:rsidP="00D251D8">
            <w:pPr>
              <w:jc w:val="center"/>
              <w:rPr>
                <w:b/>
                <w:bCs/>
                <w:color w:val="000000"/>
                <w:sz w:val="22"/>
                <w:szCs w:val="22"/>
                <w:lang w:eastAsia="en-GB"/>
              </w:rPr>
            </w:pPr>
            <w:r w:rsidRPr="004A4EBE">
              <w:rPr>
                <w:b/>
                <w:bCs/>
                <w:color w:val="000000"/>
                <w:sz w:val="22"/>
                <w:szCs w:val="22"/>
                <w:lang w:eastAsia="en-GB"/>
              </w:rPr>
              <w:t>Percent</w:t>
            </w:r>
          </w:p>
        </w:tc>
      </w:tr>
      <w:tr w:rsidR="000A4CDE" w:rsidRPr="004A4EBE" w14:paraId="3483C5FC" w14:textId="77777777" w:rsidTr="00D251D8">
        <w:trPr>
          <w:trHeight w:val="25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26640288" w14:textId="77777777" w:rsidR="000A4CDE" w:rsidRPr="004A4EBE" w:rsidRDefault="000A4CDE" w:rsidP="00D251D8">
            <w:pPr>
              <w:rPr>
                <w:color w:val="000000"/>
                <w:sz w:val="22"/>
                <w:szCs w:val="22"/>
                <w:lang w:eastAsia="en-GB"/>
              </w:rPr>
            </w:pPr>
            <w:r w:rsidRPr="004A4EBE">
              <w:rPr>
                <w:color w:val="000000"/>
                <w:sz w:val="22"/>
                <w:szCs w:val="22"/>
                <w:lang w:eastAsia="en-GB"/>
              </w:rPr>
              <w:t>Academic only</w:t>
            </w:r>
          </w:p>
        </w:tc>
        <w:tc>
          <w:tcPr>
            <w:tcW w:w="1417" w:type="dxa"/>
            <w:tcBorders>
              <w:top w:val="nil"/>
              <w:left w:val="nil"/>
              <w:bottom w:val="single" w:sz="4" w:space="0" w:color="auto"/>
              <w:right w:val="single" w:sz="4" w:space="0" w:color="auto"/>
            </w:tcBorders>
            <w:shd w:val="clear" w:color="auto" w:fill="auto"/>
            <w:noWrap/>
            <w:vAlign w:val="bottom"/>
            <w:hideMark/>
          </w:tcPr>
          <w:p w14:paraId="65C1DCD1" w14:textId="77777777" w:rsidR="000A4CDE" w:rsidRPr="004A4EBE" w:rsidRDefault="000A4CDE" w:rsidP="00D251D8">
            <w:pPr>
              <w:jc w:val="right"/>
              <w:rPr>
                <w:color w:val="000000"/>
                <w:sz w:val="22"/>
                <w:szCs w:val="22"/>
                <w:lang w:eastAsia="en-GB"/>
              </w:rPr>
            </w:pPr>
            <w:r w:rsidRPr="004A4EBE">
              <w:rPr>
                <w:color w:val="000000"/>
                <w:sz w:val="22"/>
                <w:szCs w:val="22"/>
                <w:lang w:eastAsia="en-GB"/>
              </w:rPr>
              <w:t>203,729</w:t>
            </w:r>
          </w:p>
        </w:tc>
        <w:tc>
          <w:tcPr>
            <w:tcW w:w="1276" w:type="dxa"/>
            <w:tcBorders>
              <w:top w:val="nil"/>
              <w:left w:val="nil"/>
              <w:bottom w:val="single" w:sz="4" w:space="0" w:color="auto"/>
              <w:right w:val="single" w:sz="4" w:space="0" w:color="auto"/>
            </w:tcBorders>
            <w:shd w:val="clear" w:color="auto" w:fill="auto"/>
            <w:noWrap/>
            <w:vAlign w:val="bottom"/>
            <w:hideMark/>
          </w:tcPr>
          <w:p w14:paraId="59412DB8" w14:textId="77777777" w:rsidR="000A4CDE" w:rsidRPr="004A4EBE" w:rsidRDefault="000A4CDE" w:rsidP="00D251D8">
            <w:pPr>
              <w:jc w:val="right"/>
              <w:rPr>
                <w:color w:val="000000"/>
                <w:sz w:val="22"/>
                <w:szCs w:val="22"/>
                <w:lang w:eastAsia="en-GB"/>
              </w:rPr>
            </w:pPr>
            <w:r w:rsidRPr="004A4EBE">
              <w:rPr>
                <w:color w:val="000000"/>
                <w:sz w:val="22"/>
                <w:szCs w:val="22"/>
                <w:lang w:eastAsia="en-GB"/>
              </w:rPr>
              <w:t>51.3</w:t>
            </w:r>
          </w:p>
        </w:tc>
      </w:tr>
      <w:tr w:rsidR="000A4CDE" w:rsidRPr="004A4EBE" w14:paraId="1455790C" w14:textId="77777777" w:rsidTr="00D251D8">
        <w:trPr>
          <w:trHeight w:val="25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3E4F1BBB" w14:textId="77777777" w:rsidR="000A4CDE" w:rsidRPr="004A4EBE" w:rsidRDefault="000A4CDE" w:rsidP="00D251D8">
            <w:pPr>
              <w:rPr>
                <w:color w:val="000000"/>
                <w:sz w:val="22"/>
                <w:szCs w:val="22"/>
                <w:lang w:eastAsia="en-GB"/>
              </w:rPr>
            </w:pPr>
            <w:r w:rsidRPr="004A4EBE">
              <w:rPr>
                <w:color w:val="000000"/>
                <w:sz w:val="22"/>
                <w:szCs w:val="22"/>
                <w:lang w:eastAsia="en-GB"/>
              </w:rPr>
              <w:t xml:space="preserve">Academic and </w:t>
            </w:r>
            <w:r>
              <w:rPr>
                <w:color w:val="000000"/>
                <w:sz w:val="22"/>
                <w:szCs w:val="22"/>
                <w:lang w:eastAsia="en-GB"/>
              </w:rPr>
              <w:t xml:space="preserve">Applied </w:t>
            </w:r>
            <w:r w:rsidRPr="004A4EBE">
              <w:rPr>
                <w:color w:val="000000"/>
                <w:sz w:val="22"/>
                <w:szCs w:val="22"/>
                <w:lang w:eastAsia="en-GB"/>
              </w:rPr>
              <w:t>General</w:t>
            </w:r>
          </w:p>
        </w:tc>
        <w:tc>
          <w:tcPr>
            <w:tcW w:w="1417" w:type="dxa"/>
            <w:tcBorders>
              <w:top w:val="nil"/>
              <w:left w:val="nil"/>
              <w:bottom w:val="single" w:sz="4" w:space="0" w:color="auto"/>
              <w:right w:val="single" w:sz="4" w:space="0" w:color="auto"/>
            </w:tcBorders>
            <w:shd w:val="clear" w:color="auto" w:fill="auto"/>
            <w:noWrap/>
            <w:vAlign w:val="bottom"/>
            <w:hideMark/>
          </w:tcPr>
          <w:p w14:paraId="7BE79DD6" w14:textId="77777777" w:rsidR="000A4CDE" w:rsidRPr="004A4EBE" w:rsidRDefault="000A4CDE" w:rsidP="00D251D8">
            <w:pPr>
              <w:jc w:val="right"/>
              <w:rPr>
                <w:color w:val="000000"/>
                <w:sz w:val="22"/>
                <w:szCs w:val="22"/>
                <w:lang w:eastAsia="en-GB"/>
              </w:rPr>
            </w:pPr>
            <w:r w:rsidRPr="004A4EBE">
              <w:rPr>
                <w:color w:val="000000"/>
                <w:sz w:val="22"/>
                <w:szCs w:val="22"/>
                <w:lang w:eastAsia="en-GB"/>
              </w:rPr>
              <w:t>80,059</w:t>
            </w:r>
          </w:p>
        </w:tc>
        <w:tc>
          <w:tcPr>
            <w:tcW w:w="1276" w:type="dxa"/>
            <w:tcBorders>
              <w:top w:val="nil"/>
              <w:left w:val="nil"/>
              <w:bottom w:val="single" w:sz="4" w:space="0" w:color="auto"/>
              <w:right w:val="single" w:sz="4" w:space="0" w:color="auto"/>
            </w:tcBorders>
            <w:shd w:val="clear" w:color="auto" w:fill="auto"/>
            <w:noWrap/>
            <w:vAlign w:val="bottom"/>
            <w:hideMark/>
          </w:tcPr>
          <w:p w14:paraId="7F9F10D3" w14:textId="77777777" w:rsidR="000A4CDE" w:rsidRPr="004A4EBE" w:rsidRDefault="000A4CDE" w:rsidP="00D251D8">
            <w:pPr>
              <w:jc w:val="right"/>
              <w:rPr>
                <w:color w:val="000000"/>
                <w:sz w:val="22"/>
                <w:szCs w:val="22"/>
                <w:lang w:eastAsia="en-GB"/>
              </w:rPr>
            </w:pPr>
            <w:r w:rsidRPr="004A4EBE">
              <w:rPr>
                <w:color w:val="000000"/>
                <w:sz w:val="22"/>
                <w:szCs w:val="22"/>
                <w:lang w:eastAsia="en-GB"/>
              </w:rPr>
              <w:t>20.2</w:t>
            </w:r>
          </w:p>
        </w:tc>
      </w:tr>
      <w:tr w:rsidR="000A4CDE" w:rsidRPr="004A4EBE" w14:paraId="734CA6F3" w14:textId="77777777" w:rsidTr="00D251D8">
        <w:trPr>
          <w:trHeight w:val="25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2E1187B8" w14:textId="77777777" w:rsidR="000A4CDE" w:rsidRPr="004A4EBE" w:rsidRDefault="000A4CDE" w:rsidP="00D251D8">
            <w:pPr>
              <w:rPr>
                <w:color w:val="000000"/>
                <w:sz w:val="22"/>
                <w:szCs w:val="22"/>
                <w:lang w:eastAsia="en-GB"/>
              </w:rPr>
            </w:pPr>
            <w:r w:rsidRPr="004A4EBE">
              <w:rPr>
                <w:color w:val="000000"/>
                <w:sz w:val="22"/>
                <w:szCs w:val="22"/>
                <w:lang w:eastAsia="en-GB"/>
              </w:rPr>
              <w:t>Academic and Occupational</w:t>
            </w:r>
          </w:p>
        </w:tc>
        <w:tc>
          <w:tcPr>
            <w:tcW w:w="1417" w:type="dxa"/>
            <w:tcBorders>
              <w:top w:val="nil"/>
              <w:left w:val="nil"/>
              <w:bottom w:val="single" w:sz="4" w:space="0" w:color="auto"/>
              <w:right w:val="single" w:sz="4" w:space="0" w:color="auto"/>
            </w:tcBorders>
            <w:shd w:val="clear" w:color="auto" w:fill="auto"/>
            <w:noWrap/>
            <w:vAlign w:val="bottom"/>
            <w:hideMark/>
          </w:tcPr>
          <w:p w14:paraId="719066D2" w14:textId="77777777" w:rsidR="000A4CDE" w:rsidRPr="004A4EBE" w:rsidRDefault="000A4CDE" w:rsidP="00D251D8">
            <w:pPr>
              <w:jc w:val="right"/>
              <w:rPr>
                <w:color w:val="000000"/>
                <w:sz w:val="22"/>
                <w:szCs w:val="22"/>
                <w:lang w:eastAsia="en-GB"/>
              </w:rPr>
            </w:pPr>
            <w:r w:rsidRPr="004A4EBE">
              <w:rPr>
                <w:color w:val="000000"/>
                <w:sz w:val="22"/>
                <w:szCs w:val="22"/>
                <w:lang w:eastAsia="en-GB"/>
              </w:rPr>
              <w:t>1,505</w:t>
            </w:r>
          </w:p>
        </w:tc>
        <w:tc>
          <w:tcPr>
            <w:tcW w:w="1276" w:type="dxa"/>
            <w:tcBorders>
              <w:top w:val="nil"/>
              <w:left w:val="nil"/>
              <w:bottom w:val="single" w:sz="4" w:space="0" w:color="auto"/>
              <w:right w:val="single" w:sz="4" w:space="0" w:color="auto"/>
            </w:tcBorders>
            <w:shd w:val="clear" w:color="auto" w:fill="auto"/>
            <w:noWrap/>
            <w:vAlign w:val="bottom"/>
            <w:hideMark/>
          </w:tcPr>
          <w:p w14:paraId="4BC58358" w14:textId="77777777" w:rsidR="000A4CDE" w:rsidRPr="004A4EBE" w:rsidRDefault="000A4CDE" w:rsidP="00D251D8">
            <w:pPr>
              <w:jc w:val="right"/>
              <w:rPr>
                <w:color w:val="000000"/>
                <w:sz w:val="22"/>
                <w:szCs w:val="22"/>
                <w:lang w:eastAsia="en-GB"/>
              </w:rPr>
            </w:pPr>
            <w:r w:rsidRPr="004A4EBE">
              <w:rPr>
                <w:color w:val="000000"/>
                <w:sz w:val="22"/>
                <w:szCs w:val="22"/>
                <w:lang w:eastAsia="en-GB"/>
              </w:rPr>
              <w:t>0.4</w:t>
            </w:r>
          </w:p>
        </w:tc>
      </w:tr>
      <w:tr w:rsidR="000A4CDE" w:rsidRPr="004A4EBE" w14:paraId="1F7BDCF4" w14:textId="77777777" w:rsidTr="00D251D8">
        <w:trPr>
          <w:trHeight w:val="25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5EADAC44" w14:textId="77777777" w:rsidR="000A4CDE" w:rsidRPr="004A4EBE" w:rsidRDefault="000A4CDE" w:rsidP="00D251D8">
            <w:pPr>
              <w:rPr>
                <w:color w:val="000000"/>
                <w:sz w:val="22"/>
                <w:szCs w:val="22"/>
                <w:lang w:eastAsia="en-GB"/>
              </w:rPr>
            </w:pPr>
            <w:r w:rsidRPr="004A4EBE">
              <w:rPr>
                <w:color w:val="000000"/>
                <w:sz w:val="22"/>
                <w:szCs w:val="22"/>
                <w:lang w:eastAsia="en-GB"/>
              </w:rPr>
              <w:t>All three</w:t>
            </w:r>
          </w:p>
        </w:tc>
        <w:tc>
          <w:tcPr>
            <w:tcW w:w="1417" w:type="dxa"/>
            <w:tcBorders>
              <w:top w:val="nil"/>
              <w:left w:val="nil"/>
              <w:bottom w:val="single" w:sz="4" w:space="0" w:color="auto"/>
              <w:right w:val="single" w:sz="4" w:space="0" w:color="auto"/>
            </w:tcBorders>
            <w:shd w:val="clear" w:color="auto" w:fill="auto"/>
            <w:noWrap/>
            <w:vAlign w:val="bottom"/>
            <w:hideMark/>
          </w:tcPr>
          <w:p w14:paraId="47B68D6F" w14:textId="77777777" w:rsidR="000A4CDE" w:rsidRPr="004A4EBE" w:rsidRDefault="000A4CDE" w:rsidP="00D251D8">
            <w:pPr>
              <w:jc w:val="right"/>
              <w:rPr>
                <w:color w:val="000000"/>
                <w:sz w:val="22"/>
                <w:szCs w:val="22"/>
                <w:lang w:eastAsia="en-GB"/>
              </w:rPr>
            </w:pPr>
            <w:r w:rsidRPr="004A4EBE">
              <w:rPr>
                <w:color w:val="000000"/>
                <w:sz w:val="22"/>
                <w:szCs w:val="22"/>
                <w:lang w:eastAsia="en-GB"/>
              </w:rPr>
              <w:t>780</w:t>
            </w:r>
          </w:p>
        </w:tc>
        <w:tc>
          <w:tcPr>
            <w:tcW w:w="1276" w:type="dxa"/>
            <w:tcBorders>
              <w:top w:val="nil"/>
              <w:left w:val="nil"/>
              <w:bottom w:val="single" w:sz="4" w:space="0" w:color="auto"/>
              <w:right w:val="single" w:sz="4" w:space="0" w:color="auto"/>
            </w:tcBorders>
            <w:shd w:val="clear" w:color="auto" w:fill="auto"/>
            <w:noWrap/>
            <w:vAlign w:val="bottom"/>
            <w:hideMark/>
          </w:tcPr>
          <w:p w14:paraId="415CC845" w14:textId="77777777" w:rsidR="000A4CDE" w:rsidRPr="004A4EBE" w:rsidRDefault="000A4CDE" w:rsidP="00D251D8">
            <w:pPr>
              <w:jc w:val="right"/>
              <w:rPr>
                <w:color w:val="000000"/>
                <w:sz w:val="22"/>
                <w:szCs w:val="22"/>
                <w:lang w:eastAsia="en-GB"/>
              </w:rPr>
            </w:pPr>
            <w:r w:rsidRPr="004A4EBE">
              <w:rPr>
                <w:color w:val="000000"/>
                <w:sz w:val="22"/>
                <w:szCs w:val="22"/>
                <w:lang w:eastAsia="en-GB"/>
              </w:rPr>
              <w:t>0.2</w:t>
            </w:r>
          </w:p>
        </w:tc>
      </w:tr>
      <w:tr w:rsidR="000A4CDE" w:rsidRPr="004A4EBE" w14:paraId="5FA609E6" w14:textId="77777777" w:rsidTr="00D251D8">
        <w:trPr>
          <w:trHeight w:val="25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6DD846F8" w14:textId="77777777" w:rsidR="000A4CDE" w:rsidRPr="004A4EBE" w:rsidRDefault="000A4CDE" w:rsidP="00D251D8">
            <w:pPr>
              <w:rPr>
                <w:color w:val="000000"/>
                <w:sz w:val="22"/>
                <w:szCs w:val="22"/>
                <w:lang w:eastAsia="en-GB"/>
              </w:rPr>
            </w:pPr>
            <w:r>
              <w:rPr>
                <w:color w:val="000000"/>
                <w:sz w:val="22"/>
                <w:szCs w:val="22"/>
                <w:lang w:eastAsia="en-GB"/>
              </w:rPr>
              <w:t xml:space="preserve">Applied </w:t>
            </w:r>
            <w:r w:rsidRPr="004A4EBE">
              <w:rPr>
                <w:color w:val="000000"/>
                <w:sz w:val="22"/>
                <w:szCs w:val="22"/>
                <w:lang w:eastAsia="en-GB"/>
              </w:rPr>
              <w:t>General only</w:t>
            </w:r>
          </w:p>
        </w:tc>
        <w:tc>
          <w:tcPr>
            <w:tcW w:w="1417" w:type="dxa"/>
            <w:tcBorders>
              <w:top w:val="nil"/>
              <w:left w:val="nil"/>
              <w:bottom w:val="single" w:sz="4" w:space="0" w:color="auto"/>
              <w:right w:val="single" w:sz="4" w:space="0" w:color="auto"/>
            </w:tcBorders>
            <w:shd w:val="clear" w:color="auto" w:fill="auto"/>
            <w:noWrap/>
            <w:vAlign w:val="bottom"/>
            <w:hideMark/>
          </w:tcPr>
          <w:p w14:paraId="1D277921" w14:textId="77777777" w:rsidR="000A4CDE" w:rsidRPr="004A4EBE" w:rsidRDefault="000A4CDE" w:rsidP="00D251D8">
            <w:pPr>
              <w:jc w:val="right"/>
              <w:rPr>
                <w:color w:val="000000"/>
                <w:sz w:val="22"/>
                <w:szCs w:val="22"/>
                <w:lang w:eastAsia="en-GB"/>
              </w:rPr>
            </w:pPr>
            <w:r w:rsidRPr="004A4EBE">
              <w:rPr>
                <w:color w:val="000000"/>
                <w:sz w:val="22"/>
                <w:szCs w:val="22"/>
                <w:lang w:eastAsia="en-GB"/>
              </w:rPr>
              <w:t>85,621</w:t>
            </w:r>
          </w:p>
        </w:tc>
        <w:tc>
          <w:tcPr>
            <w:tcW w:w="1276" w:type="dxa"/>
            <w:tcBorders>
              <w:top w:val="nil"/>
              <w:left w:val="nil"/>
              <w:bottom w:val="single" w:sz="4" w:space="0" w:color="auto"/>
              <w:right w:val="single" w:sz="4" w:space="0" w:color="auto"/>
            </w:tcBorders>
            <w:shd w:val="clear" w:color="auto" w:fill="auto"/>
            <w:noWrap/>
            <w:vAlign w:val="bottom"/>
            <w:hideMark/>
          </w:tcPr>
          <w:p w14:paraId="0E5EA329" w14:textId="77777777" w:rsidR="000A4CDE" w:rsidRPr="004A4EBE" w:rsidRDefault="000A4CDE" w:rsidP="00D251D8">
            <w:pPr>
              <w:jc w:val="right"/>
              <w:rPr>
                <w:color w:val="000000"/>
                <w:sz w:val="22"/>
                <w:szCs w:val="22"/>
                <w:lang w:eastAsia="en-GB"/>
              </w:rPr>
            </w:pPr>
            <w:r w:rsidRPr="004A4EBE">
              <w:rPr>
                <w:color w:val="000000"/>
                <w:sz w:val="22"/>
                <w:szCs w:val="22"/>
                <w:lang w:eastAsia="en-GB"/>
              </w:rPr>
              <w:t>21.6</w:t>
            </w:r>
          </w:p>
        </w:tc>
      </w:tr>
      <w:tr w:rsidR="000A4CDE" w:rsidRPr="004A4EBE" w14:paraId="2698AA52" w14:textId="77777777" w:rsidTr="00D251D8">
        <w:trPr>
          <w:trHeight w:val="25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7FD6AA9F" w14:textId="77777777" w:rsidR="000A4CDE" w:rsidRPr="004A4EBE" w:rsidRDefault="000A4CDE" w:rsidP="00D251D8">
            <w:pPr>
              <w:rPr>
                <w:color w:val="000000"/>
                <w:sz w:val="22"/>
                <w:szCs w:val="22"/>
                <w:lang w:eastAsia="en-GB"/>
              </w:rPr>
            </w:pPr>
            <w:r>
              <w:rPr>
                <w:color w:val="000000"/>
                <w:sz w:val="22"/>
                <w:szCs w:val="22"/>
                <w:lang w:eastAsia="en-GB"/>
              </w:rPr>
              <w:t xml:space="preserve">Applied </w:t>
            </w:r>
            <w:r w:rsidRPr="004A4EBE">
              <w:rPr>
                <w:color w:val="000000"/>
                <w:sz w:val="22"/>
                <w:szCs w:val="22"/>
                <w:lang w:eastAsia="en-GB"/>
              </w:rPr>
              <w:t>General and Occupational</w:t>
            </w:r>
          </w:p>
        </w:tc>
        <w:tc>
          <w:tcPr>
            <w:tcW w:w="1417" w:type="dxa"/>
            <w:tcBorders>
              <w:top w:val="nil"/>
              <w:left w:val="nil"/>
              <w:bottom w:val="single" w:sz="4" w:space="0" w:color="auto"/>
              <w:right w:val="single" w:sz="4" w:space="0" w:color="auto"/>
            </w:tcBorders>
            <w:shd w:val="clear" w:color="auto" w:fill="auto"/>
            <w:noWrap/>
            <w:vAlign w:val="bottom"/>
            <w:hideMark/>
          </w:tcPr>
          <w:p w14:paraId="695C8F71" w14:textId="77777777" w:rsidR="000A4CDE" w:rsidRPr="004A4EBE" w:rsidRDefault="000A4CDE" w:rsidP="00D251D8">
            <w:pPr>
              <w:jc w:val="right"/>
              <w:rPr>
                <w:color w:val="000000"/>
                <w:sz w:val="22"/>
                <w:szCs w:val="22"/>
                <w:lang w:eastAsia="en-GB"/>
              </w:rPr>
            </w:pPr>
            <w:r w:rsidRPr="004A4EBE">
              <w:rPr>
                <w:color w:val="000000"/>
                <w:sz w:val="22"/>
                <w:szCs w:val="22"/>
                <w:lang w:eastAsia="en-GB"/>
              </w:rPr>
              <w:t>3,168</w:t>
            </w:r>
          </w:p>
        </w:tc>
        <w:tc>
          <w:tcPr>
            <w:tcW w:w="1276" w:type="dxa"/>
            <w:tcBorders>
              <w:top w:val="nil"/>
              <w:left w:val="nil"/>
              <w:bottom w:val="single" w:sz="4" w:space="0" w:color="auto"/>
              <w:right w:val="single" w:sz="4" w:space="0" w:color="auto"/>
            </w:tcBorders>
            <w:shd w:val="clear" w:color="auto" w:fill="auto"/>
            <w:noWrap/>
            <w:vAlign w:val="bottom"/>
            <w:hideMark/>
          </w:tcPr>
          <w:p w14:paraId="1EF7E1A8" w14:textId="77777777" w:rsidR="000A4CDE" w:rsidRPr="004A4EBE" w:rsidRDefault="000A4CDE" w:rsidP="00D251D8">
            <w:pPr>
              <w:jc w:val="right"/>
              <w:rPr>
                <w:color w:val="000000"/>
                <w:sz w:val="22"/>
                <w:szCs w:val="22"/>
                <w:lang w:eastAsia="en-GB"/>
              </w:rPr>
            </w:pPr>
            <w:r w:rsidRPr="004A4EBE">
              <w:rPr>
                <w:color w:val="000000"/>
                <w:sz w:val="22"/>
                <w:szCs w:val="22"/>
                <w:lang w:eastAsia="en-GB"/>
              </w:rPr>
              <w:t>0.8</w:t>
            </w:r>
          </w:p>
        </w:tc>
      </w:tr>
      <w:tr w:rsidR="000A4CDE" w:rsidRPr="004A4EBE" w14:paraId="18FC0FEE" w14:textId="77777777" w:rsidTr="00D251D8">
        <w:trPr>
          <w:trHeight w:val="25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49CADFC9" w14:textId="77777777" w:rsidR="000A4CDE" w:rsidRPr="004A4EBE" w:rsidRDefault="000A4CDE" w:rsidP="00D251D8">
            <w:pPr>
              <w:rPr>
                <w:color w:val="000000"/>
                <w:sz w:val="22"/>
                <w:szCs w:val="22"/>
                <w:lang w:eastAsia="en-GB"/>
              </w:rPr>
            </w:pPr>
            <w:r w:rsidRPr="004A4EBE">
              <w:rPr>
                <w:color w:val="000000"/>
                <w:sz w:val="22"/>
                <w:szCs w:val="22"/>
                <w:lang w:eastAsia="en-GB"/>
              </w:rPr>
              <w:t>Occupational only</w:t>
            </w:r>
          </w:p>
        </w:tc>
        <w:tc>
          <w:tcPr>
            <w:tcW w:w="1417" w:type="dxa"/>
            <w:tcBorders>
              <w:top w:val="nil"/>
              <w:left w:val="nil"/>
              <w:bottom w:val="single" w:sz="4" w:space="0" w:color="auto"/>
              <w:right w:val="single" w:sz="4" w:space="0" w:color="auto"/>
            </w:tcBorders>
            <w:shd w:val="clear" w:color="auto" w:fill="auto"/>
            <w:noWrap/>
            <w:vAlign w:val="bottom"/>
            <w:hideMark/>
          </w:tcPr>
          <w:p w14:paraId="06F7ED40" w14:textId="77777777" w:rsidR="000A4CDE" w:rsidRPr="004A4EBE" w:rsidRDefault="000A4CDE" w:rsidP="00D251D8">
            <w:pPr>
              <w:jc w:val="right"/>
              <w:rPr>
                <w:color w:val="000000"/>
                <w:sz w:val="22"/>
                <w:szCs w:val="22"/>
                <w:lang w:eastAsia="en-GB"/>
              </w:rPr>
            </w:pPr>
            <w:r w:rsidRPr="004A4EBE">
              <w:rPr>
                <w:color w:val="000000"/>
                <w:sz w:val="22"/>
                <w:szCs w:val="22"/>
                <w:lang w:eastAsia="en-GB"/>
              </w:rPr>
              <w:t>22,209</w:t>
            </w:r>
          </w:p>
        </w:tc>
        <w:tc>
          <w:tcPr>
            <w:tcW w:w="1276" w:type="dxa"/>
            <w:tcBorders>
              <w:top w:val="nil"/>
              <w:left w:val="nil"/>
              <w:bottom w:val="single" w:sz="4" w:space="0" w:color="auto"/>
              <w:right w:val="single" w:sz="4" w:space="0" w:color="auto"/>
            </w:tcBorders>
            <w:shd w:val="clear" w:color="auto" w:fill="auto"/>
            <w:noWrap/>
            <w:vAlign w:val="bottom"/>
            <w:hideMark/>
          </w:tcPr>
          <w:p w14:paraId="705571CF" w14:textId="77777777" w:rsidR="000A4CDE" w:rsidRPr="004A4EBE" w:rsidRDefault="000A4CDE" w:rsidP="00D251D8">
            <w:pPr>
              <w:jc w:val="right"/>
              <w:rPr>
                <w:color w:val="000000"/>
                <w:sz w:val="22"/>
                <w:szCs w:val="22"/>
                <w:lang w:eastAsia="en-GB"/>
              </w:rPr>
            </w:pPr>
            <w:r w:rsidRPr="004A4EBE">
              <w:rPr>
                <w:color w:val="000000"/>
                <w:sz w:val="22"/>
                <w:szCs w:val="22"/>
                <w:lang w:eastAsia="en-GB"/>
              </w:rPr>
              <w:t>5.6</w:t>
            </w:r>
          </w:p>
        </w:tc>
      </w:tr>
      <w:tr w:rsidR="000A4CDE" w:rsidRPr="004A4EBE" w14:paraId="3F2B029C" w14:textId="77777777" w:rsidTr="00D251D8">
        <w:trPr>
          <w:trHeight w:val="271"/>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18FBEF5C" w14:textId="77777777" w:rsidR="000A4CDE" w:rsidRPr="004A4EBE" w:rsidRDefault="000A4CDE" w:rsidP="00D251D8">
            <w:pPr>
              <w:rPr>
                <w:b/>
                <w:bCs/>
                <w:color w:val="000000"/>
                <w:sz w:val="22"/>
                <w:szCs w:val="22"/>
                <w:lang w:eastAsia="en-GB"/>
              </w:rPr>
            </w:pPr>
            <w:r w:rsidRPr="004A4EBE">
              <w:rPr>
                <w:b/>
                <w:bCs/>
                <w:color w:val="000000"/>
                <w:sz w:val="22"/>
                <w:szCs w:val="22"/>
                <w:lang w:eastAsia="en-GB"/>
              </w:rPr>
              <w:t>Total</w:t>
            </w:r>
          </w:p>
        </w:tc>
        <w:tc>
          <w:tcPr>
            <w:tcW w:w="1417" w:type="dxa"/>
            <w:tcBorders>
              <w:top w:val="nil"/>
              <w:left w:val="nil"/>
              <w:bottom w:val="single" w:sz="4" w:space="0" w:color="auto"/>
              <w:right w:val="single" w:sz="4" w:space="0" w:color="auto"/>
            </w:tcBorders>
            <w:shd w:val="clear" w:color="auto" w:fill="auto"/>
            <w:noWrap/>
            <w:vAlign w:val="bottom"/>
            <w:hideMark/>
          </w:tcPr>
          <w:p w14:paraId="141A645B" w14:textId="77777777" w:rsidR="000A4CDE" w:rsidRPr="004A4EBE" w:rsidRDefault="000A4CDE" w:rsidP="00D251D8">
            <w:pPr>
              <w:jc w:val="right"/>
              <w:rPr>
                <w:b/>
                <w:bCs/>
                <w:color w:val="000000"/>
                <w:sz w:val="22"/>
                <w:szCs w:val="22"/>
                <w:lang w:eastAsia="en-GB"/>
              </w:rPr>
            </w:pPr>
            <w:r w:rsidRPr="004A4EBE">
              <w:rPr>
                <w:b/>
                <w:bCs/>
                <w:color w:val="000000"/>
                <w:sz w:val="22"/>
                <w:szCs w:val="22"/>
                <w:lang w:eastAsia="en-GB"/>
              </w:rPr>
              <w:t>397,071</w:t>
            </w:r>
          </w:p>
        </w:tc>
        <w:tc>
          <w:tcPr>
            <w:tcW w:w="1276" w:type="dxa"/>
            <w:tcBorders>
              <w:top w:val="nil"/>
              <w:left w:val="nil"/>
              <w:bottom w:val="single" w:sz="4" w:space="0" w:color="auto"/>
              <w:right w:val="single" w:sz="4" w:space="0" w:color="auto"/>
            </w:tcBorders>
            <w:shd w:val="clear" w:color="auto" w:fill="auto"/>
            <w:noWrap/>
            <w:vAlign w:val="bottom"/>
            <w:hideMark/>
          </w:tcPr>
          <w:p w14:paraId="5388B8EB" w14:textId="77777777" w:rsidR="000A4CDE" w:rsidRPr="004A4EBE" w:rsidRDefault="000A4CDE" w:rsidP="00D251D8">
            <w:pPr>
              <w:jc w:val="right"/>
              <w:rPr>
                <w:b/>
                <w:bCs/>
                <w:color w:val="000000"/>
                <w:sz w:val="22"/>
                <w:szCs w:val="22"/>
                <w:lang w:eastAsia="en-GB"/>
              </w:rPr>
            </w:pPr>
            <w:r w:rsidRPr="004A4EBE">
              <w:rPr>
                <w:b/>
                <w:bCs/>
                <w:color w:val="000000"/>
                <w:sz w:val="22"/>
                <w:szCs w:val="22"/>
                <w:lang w:eastAsia="en-GB"/>
              </w:rPr>
              <w:t>100.0</w:t>
            </w:r>
          </w:p>
        </w:tc>
      </w:tr>
    </w:tbl>
    <w:p w14:paraId="4AB65D61" w14:textId="70100272" w:rsidR="00E11FB5" w:rsidRDefault="000A4CDE" w:rsidP="001C681D">
      <w:pPr>
        <w:ind w:firstLine="720"/>
      </w:pPr>
      <w:r w:rsidRPr="003F62E0">
        <w:rPr>
          <w:sz w:val="18"/>
          <w:szCs w:val="18"/>
        </w:rPr>
        <w:t xml:space="preserve">Source: National Pupils Database. Data is based on 2012 provisional figures. </w:t>
      </w:r>
      <w:r w:rsidR="00E11FB5">
        <w:br w:type="page"/>
      </w:r>
    </w:p>
    <w:p w14:paraId="79A3FB4C" w14:textId="7A8C887E" w:rsidR="007C1F93" w:rsidRPr="002A3AF3" w:rsidRDefault="007C1F93" w:rsidP="00B942C0">
      <w:pPr>
        <w:numPr>
          <w:ilvl w:val="0"/>
          <w:numId w:val="23"/>
        </w:numPr>
        <w:ind w:left="567" w:hanging="567"/>
        <w:rPr>
          <w:szCs w:val="24"/>
        </w:rPr>
      </w:pPr>
      <w:r>
        <w:lastRenderedPageBreak/>
        <w:t xml:space="preserve">The growth of vocational qualifications has driven increasing rates of participation amongst this age group: at the end of 1994, 57% of 16-18 year olds were in full-time education, and by 2011 this had risen to </w:t>
      </w:r>
      <w:r w:rsidR="00480C6B">
        <w:t>68</w:t>
      </w:r>
      <w:r>
        <w:t>%.</w:t>
      </w:r>
      <w:r>
        <w:rPr>
          <w:rStyle w:val="FootnoteReference"/>
        </w:rPr>
        <w:footnoteReference w:id="8"/>
      </w:r>
      <w:r>
        <w:t xml:space="preserve"> </w:t>
      </w:r>
      <w:r w:rsidRPr="002A3AF3">
        <w:rPr>
          <w:szCs w:val="24"/>
        </w:rPr>
        <w:t>However, despite the</w:t>
      </w:r>
      <w:r w:rsidRPr="002A3AF3">
        <w:rPr>
          <w:color w:val="000000"/>
          <w:szCs w:val="24"/>
          <w:lang w:val="en" w:eastAsia="en-GB"/>
        </w:rPr>
        <w:t xml:space="preserve"> ever-increasing number of young people opting for vocational pathways post-16, there are well-documented – and growing </w:t>
      </w:r>
      <w:r w:rsidR="001E784E">
        <w:rPr>
          <w:color w:val="000000"/>
          <w:szCs w:val="24"/>
          <w:lang w:val="en" w:eastAsia="en-GB"/>
        </w:rPr>
        <w:t>–</w:t>
      </w:r>
      <w:r w:rsidRPr="002A3AF3">
        <w:rPr>
          <w:color w:val="000000"/>
          <w:szCs w:val="24"/>
          <w:lang w:val="en" w:eastAsia="en-GB"/>
        </w:rPr>
        <w:t xml:space="preserve"> skills shortages in areas which depend on high-quality occupational training.  </w:t>
      </w:r>
      <w:r w:rsidRPr="002A3AF3">
        <w:rPr>
          <w:szCs w:val="24"/>
        </w:rPr>
        <w:t xml:space="preserve">At a time when </w:t>
      </w:r>
      <w:r>
        <w:rPr>
          <w:color w:val="000000"/>
          <w:kern w:val="24"/>
          <w:szCs w:val="24"/>
          <w:lang w:eastAsia="en-GB"/>
        </w:rPr>
        <w:t>6</w:t>
      </w:r>
      <w:r w:rsidR="00480C6B">
        <w:rPr>
          <w:color w:val="000000"/>
          <w:kern w:val="24"/>
          <w:szCs w:val="24"/>
          <w:lang w:eastAsia="en-GB"/>
        </w:rPr>
        <w:t>49</w:t>
      </w:r>
      <w:r w:rsidRPr="002A3AF3">
        <w:rPr>
          <w:color w:val="000000"/>
          <w:kern w:val="24"/>
          <w:szCs w:val="24"/>
          <w:lang w:eastAsia="en-GB"/>
        </w:rPr>
        <w:t>,000 people aged 16 to 24 (</w:t>
      </w:r>
      <w:r>
        <w:rPr>
          <w:color w:val="000000"/>
          <w:kern w:val="24"/>
          <w:szCs w:val="24"/>
          <w:lang w:eastAsia="en-GB"/>
        </w:rPr>
        <w:t>9</w:t>
      </w:r>
      <w:r w:rsidRPr="002A3AF3">
        <w:rPr>
          <w:color w:val="000000"/>
          <w:kern w:val="24"/>
          <w:szCs w:val="24"/>
          <w:lang w:eastAsia="en-GB"/>
        </w:rPr>
        <w:t>%) are out of work</w:t>
      </w:r>
      <w:r>
        <w:rPr>
          <w:rStyle w:val="FootnoteReference"/>
          <w:color w:val="000000"/>
          <w:kern w:val="24"/>
          <w:szCs w:val="24"/>
          <w:lang w:eastAsia="en-GB"/>
        </w:rPr>
        <w:footnoteReference w:id="9"/>
      </w:r>
      <w:r w:rsidRPr="002A3AF3">
        <w:rPr>
          <w:color w:val="000000"/>
          <w:kern w:val="24"/>
          <w:szCs w:val="24"/>
          <w:lang w:eastAsia="en-GB"/>
        </w:rPr>
        <w:t>,</w:t>
      </w:r>
      <w:r>
        <w:rPr>
          <w:color w:val="000000"/>
          <w:kern w:val="24"/>
          <w:szCs w:val="24"/>
          <w:lang w:eastAsia="en-GB"/>
        </w:rPr>
        <w:t xml:space="preserve"> </w:t>
      </w:r>
      <w:r w:rsidRPr="002A3AF3">
        <w:rPr>
          <w:color w:val="000000"/>
          <w:kern w:val="24"/>
          <w:szCs w:val="24"/>
          <w:lang w:eastAsia="en-GB"/>
        </w:rPr>
        <w:t xml:space="preserve">one in three vacancies in </w:t>
      </w:r>
      <w:r>
        <w:rPr>
          <w:color w:val="000000"/>
          <w:kern w:val="24"/>
          <w:szCs w:val="24"/>
          <w:lang w:eastAsia="en-GB"/>
        </w:rPr>
        <w:t>skilled trades</w:t>
      </w:r>
      <w:r w:rsidRPr="002A3AF3">
        <w:rPr>
          <w:color w:val="000000"/>
          <w:kern w:val="24"/>
          <w:szCs w:val="24"/>
          <w:lang w:eastAsia="en-GB"/>
        </w:rPr>
        <w:t xml:space="preserve"> (e.g. electricians, </w:t>
      </w:r>
      <w:r>
        <w:rPr>
          <w:color w:val="000000"/>
          <w:kern w:val="24"/>
          <w:szCs w:val="24"/>
          <w:lang w:eastAsia="en-GB"/>
        </w:rPr>
        <w:t>carpenters,</w:t>
      </w:r>
      <w:r w:rsidRPr="002A3AF3">
        <w:rPr>
          <w:color w:val="000000"/>
          <w:kern w:val="24"/>
          <w:szCs w:val="24"/>
          <w:lang w:eastAsia="en-GB"/>
        </w:rPr>
        <w:t xml:space="preserve"> chefs)</w:t>
      </w:r>
      <w:r>
        <w:rPr>
          <w:color w:val="000000"/>
          <w:kern w:val="24"/>
          <w:szCs w:val="24"/>
          <w:lang w:eastAsia="en-GB"/>
        </w:rPr>
        <w:t xml:space="preserve"> and one in five vacancies in associate professional role</w:t>
      </w:r>
      <w:r w:rsidR="00AF0A2E">
        <w:rPr>
          <w:color w:val="000000"/>
          <w:kern w:val="24"/>
          <w:szCs w:val="24"/>
          <w:lang w:eastAsia="en-GB"/>
        </w:rPr>
        <w:t>s</w:t>
      </w:r>
      <w:r>
        <w:rPr>
          <w:color w:val="000000"/>
          <w:kern w:val="24"/>
          <w:szCs w:val="24"/>
          <w:lang w:eastAsia="en-GB"/>
        </w:rPr>
        <w:t xml:space="preserve"> (e.g. science and engineering technicians, IT technicians, paramedics)</w:t>
      </w:r>
      <w:r w:rsidR="0032323D">
        <w:rPr>
          <w:color w:val="000000"/>
          <w:kern w:val="24"/>
          <w:szCs w:val="24"/>
          <w:lang w:eastAsia="en-GB"/>
        </w:rPr>
        <w:t xml:space="preserve"> are due to skills shortages</w:t>
      </w:r>
      <w:r>
        <w:rPr>
          <w:rStyle w:val="FootnoteReference"/>
          <w:color w:val="000000"/>
          <w:kern w:val="24"/>
          <w:szCs w:val="24"/>
          <w:lang w:eastAsia="en-GB"/>
        </w:rPr>
        <w:footnoteReference w:id="10"/>
      </w:r>
      <w:r w:rsidR="0032323D">
        <w:rPr>
          <w:color w:val="000000"/>
          <w:kern w:val="24"/>
          <w:szCs w:val="24"/>
          <w:lang w:eastAsia="en-GB"/>
        </w:rPr>
        <w:t>.</w:t>
      </w:r>
      <w:r w:rsidRPr="002A3AF3">
        <w:rPr>
          <w:color w:val="000000"/>
          <w:kern w:val="24"/>
          <w:szCs w:val="24"/>
          <w:lang w:eastAsia="en-GB"/>
        </w:rPr>
        <w:t xml:space="preserve"> </w:t>
      </w:r>
    </w:p>
    <w:p w14:paraId="22EC8C5F" w14:textId="77777777" w:rsidR="007C1F93" w:rsidRPr="001E784E" w:rsidRDefault="007C1F93" w:rsidP="00283486">
      <w:pPr>
        <w:ind w:left="567" w:hanging="567"/>
        <w:rPr>
          <w:sz w:val="20"/>
        </w:rPr>
      </w:pPr>
    </w:p>
    <w:p w14:paraId="67D1D26E" w14:textId="492F4F23" w:rsidR="007C1F93" w:rsidRPr="00CB6028" w:rsidRDefault="007C1F93" w:rsidP="00B942C0">
      <w:pPr>
        <w:numPr>
          <w:ilvl w:val="0"/>
          <w:numId w:val="23"/>
        </w:numPr>
        <w:ind w:left="567" w:hanging="567"/>
        <w:rPr>
          <w:szCs w:val="24"/>
        </w:rPr>
      </w:pPr>
      <w:r>
        <w:rPr>
          <w:szCs w:val="24"/>
        </w:rPr>
        <w:t xml:space="preserve">Whilst the popularity of vocational courses is growing, </w:t>
      </w:r>
      <w:r w:rsidR="00EF0EE0">
        <w:rPr>
          <w:szCs w:val="24"/>
        </w:rPr>
        <w:t xml:space="preserve">too </w:t>
      </w:r>
      <w:r w:rsidR="00232BD1">
        <w:rPr>
          <w:szCs w:val="24"/>
        </w:rPr>
        <w:t>few</w:t>
      </w:r>
      <w:r w:rsidRPr="00DB0F32">
        <w:rPr>
          <w:szCs w:val="24"/>
        </w:rPr>
        <w:t xml:space="preserve"> students take genuinely occupational </w:t>
      </w:r>
      <w:r w:rsidRPr="00C65354">
        <w:rPr>
          <w:szCs w:val="24"/>
        </w:rPr>
        <w:t>qualifications</w:t>
      </w:r>
      <w:r w:rsidR="00EF0EE0">
        <w:rPr>
          <w:szCs w:val="24"/>
        </w:rPr>
        <w:t xml:space="preserve"> and apprenticeships</w:t>
      </w:r>
      <w:r w:rsidRPr="00C65354">
        <w:rPr>
          <w:szCs w:val="24"/>
        </w:rPr>
        <w:t>, instead</w:t>
      </w:r>
      <w:r w:rsidRPr="00DB0F32">
        <w:rPr>
          <w:szCs w:val="24"/>
        </w:rPr>
        <w:t xml:space="preserve"> enrolling on</w:t>
      </w:r>
      <w:r>
        <w:rPr>
          <w:szCs w:val="24"/>
        </w:rPr>
        <w:t xml:space="preserve"> more</w:t>
      </w:r>
      <w:r w:rsidRPr="00DB0F32">
        <w:rPr>
          <w:szCs w:val="24"/>
        </w:rPr>
        <w:t xml:space="preserve"> general vocational qualifications</w:t>
      </w:r>
      <w:r>
        <w:rPr>
          <w:szCs w:val="24"/>
        </w:rPr>
        <w:t xml:space="preserve"> that are less likely to provide a direct route into skilled employment</w:t>
      </w:r>
      <w:r w:rsidRPr="00DB0F32">
        <w:rPr>
          <w:szCs w:val="24"/>
        </w:rPr>
        <w:t xml:space="preserve">. </w:t>
      </w:r>
      <w:r>
        <w:rPr>
          <w:szCs w:val="24"/>
        </w:rPr>
        <w:t>Provisional data for 2012 shows that</w:t>
      </w:r>
      <w:r w:rsidRPr="007C7A63">
        <w:rPr>
          <w:szCs w:val="24"/>
        </w:rPr>
        <w:t xml:space="preserve"> </w:t>
      </w:r>
      <w:r>
        <w:rPr>
          <w:szCs w:val="24"/>
        </w:rPr>
        <w:t xml:space="preserve">only </w:t>
      </w:r>
      <w:r w:rsidRPr="007C7A63">
        <w:rPr>
          <w:szCs w:val="24"/>
        </w:rPr>
        <w:t xml:space="preserve">around </w:t>
      </w:r>
      <w:r w:rsidR="00986F22">
        <w:rPr>
          <w:szCs w:val="24"/>
        </w:rPr>
        <w:t>7</w:t>
      </w:r>
      <w:r w:rsidRPr="007C7A63">
        <w:rPr>
          <w:szCs w:val="24"/>
        </w:rPr>
        <w:t>%</w:t>
      </w:r>
      <w:r>
        <w:rPr>
          <w:szCs w:val="24"/>
        </w:rPr>
        <w:t xml:space="preserve"> of 16-18 year old students studying at Level 3 are taking occupational </w:t>
      </w:r>
      <w:r w:rsidRPr="00660F65">
        <w:rPr>
          <w:szCs w:val="24"/>
        </w:rPr>
        <w:t>qual</w:t>
      </w:r>
      <w:r w:rsidRPr="00CB6028">
        <w:rPr>
          <w:szCs w:val="24"/>
        </w:rPr>
        <w:t>ifications, compared to 4</w:t>
      </w:r>
      <w:r w:rsidR="00480C6B">
        <w:rPr>
          <w:szCs w:val="24"/>
        </w:rPr>
        <w:t>2</w:t>
      </w:r>
      <w:r w:rsidRPr="00CB6028">
        <w:rPr>
          <w:szCs w:val="24"/>
        </w:rPr>
        <w:t>% who are taking gen</w:t>
      </w:r>
      <w:r w:rsidR="0032323D">
        <w:rPr>
          <w:szCs w:val="24"/>
        </w:rPr>
        <w:t>eral vocational qualifications</w:t>
      </w:r>
      <w:r>
        <w:rPr>
          <w:rStyle w:val="FootnoteReference"/>
          <w:szCs w:val="24"/>
        </w:rPr>
        <w:footnoteReference w:id="11"/>
      </w:r>
      <w:r w:rsidR="0032323D">
        <w:rPr>
          <w:szCs w:val="24"/>
        </w:rPr>
        <w:t>.</w:t>
      </w:r>
      <w:r w:rsidRPr="00CB6028">
        <w:rPr>
          <w:szCs w:val="24"/>
        </w:rPr>
        <w:t xml:space="preserve"> W</w:t>
      </w:r>
      <w:r>
        <w:rPr>
          <w:szCs w:val="24"/>
        </w:rPr>
        <w:t xml:space="preserve">ithout </w:t>
      </w:r>
      <w:r w:rsidRPr="00CB6028">
        <w:rPr>
          <w:szCs w:val="24"/>
        </w:rPr>
        <w:t xml:space="preserve">clarity about the types of vocational qualification on offer, and where they can lead, </w:t>
      </w:r>
      <w:r>
        <w:rPr>
          <w:szCs w:val="24"/>
        </w:rPr>
        <w:t xml:space="preserve">it very difficult for a </w:t>
      </w:r>
      <w:r w:rsidRPr="00CB6028">
        <w:rPr>
          <w:szCs w:val="24"/>
        </w:rPr>
        <w:t xml:space="preserve">student </w:t>
      </w:r>
      <w:r>
        <w:rPr>
          <w:szCs w:val="24"/>
        </w:rPr>
        <w:t xml:space="preserve">to </w:t>
      </w:r>
      <w:r w:rsidRPr="00CB6028">
        <w:rPr>
          <w:szCs w:val="24"/>
        </w:rPr>
        <w:t xml:space="preserve">make </w:t>
      </w:r>
      <w:r>
        <w:rPr>
          <w:szCs w:val="24"/>
        </w:rPr>
        <w:t xml:space="preserve">an </w:t>
      </w:r>
      <w:r w:rsidRPr="00CB6028">
        <w:rPr>
          <w:szCs w:val="24"/>
        </w:rPr>
        <w:t>informed choice</w:t>
      </w:r>
      <w:r>
        <w:rPr>
          <w:szCs w:val="24"/>
        </w:rPr>
        <w:t xml:space="preserve"> about which qualifications best match their career goal</w:t>
      </w:r>
      <w:r w:rsidRPr="00CB6028">
        <w:rPr>
          <w:szCs w:val="24"/>
        </w:rPr>
        <w:t>s.</w:t>
      </w:r>
    </w:p>
    <w:p w14:paraId="7782AF75" w14:textId="77777777" w:rsidR="007C1F93" w:rsidRPr="001E784E" w:rsidRDefault="007C1F93" w:rsidP="00283486">
      <w:pPr>
        <w:ind w:left="567" w:hanging="567"/>
        <w:rPr>
          <w:sz w:val="20"/>
        </w:rPr>
      </w:pPr>
    </w:p>
    <w:p w14:paraId="6B92121D" w14:textId="747A222A" w:rsidR="007C1F93" w:rsidRPr="004F0045" w:rsidRDefault="007C1F93" w:rsidP="00B942C0">
      <w:pPr>
        <w:numPr>
          <w:ilvl w:val="0"/>
          <w:numId w:val="23"/>
        </w:numPr>
        <w:ind w:left="567" w:hanging="567"/>
        <w:rPr>
          <w:szCs w:val="24"/>
        </w:rPr>
      </w:pPr>
      <w:r w:rsidRPr="00C43F7F">
        <w:rPr>
          <w:szCs w:val="24"/>
        </w:rPr>
        <w:t>High quality</w:t>
      </w:r>
      <w:r>
        <w:rPr>
          <w:szCs w:val="24"/>
        </w:rPr>
        <w:t xml:space="preserve"> vocational education which delivers the knowledge and skills that employers and the labour market need is essential to a healthy economy. Some vocational qualifications are robust, challenging, and held in very high esteem by employers and Higher Education institutions. Yet too many students are being guided to spend time and effort working towards other </w:t>
      </w:r>
      <w:r>
        <w:t>vocational qualifications with limited value, only to find themselves with few options for moving onto employment or further training at the age of 19</w:t>
      </w:r>
      <w:r w:rsidR="0032323D">
        <w:rPr>
          <w:rStyle w:val="FootnoteReference"/>
          <w:szCs w:val="24"/>
        </w:rPr>
        <w:footnoteReference w:id="12"/>
      </w:r>
      <w:r>
        <w:t xml:space="preserve">.  </w:t>
      </w:r>
      <w:r>
        <w:rPr>
          <w:szCs w:val="24"/>
        </w:rPr>
        <w:t xml:space="preserve"> </w:t>
      </w:r>
    </w:p>
    <w:p w14:paraId="5DCDD10E" w14:textId="77777777" w:rsidR="007C1F93" w:rsidRPr="001E784E" w:rsidRDefault="007C1F93" w:rsidP="00283486">
      <w:pPr>
        <w:ind w:left="567" w:hanging="567"/>
        <w:rPr>
          <w:sz w:val="20"/>
        </w:rPr>
      </w:pPr>
    </w:p>
    <w:p w14:paraId="3BD9DCEE" w14:textId="77777777" w:rsidR="007C1F93" w:rsidRDefault="007C1F93" w:rsidP="00B942C0">
      <w:pPr>
        <w:numPr>
          <w:ilvl w:val="0"/>
          <w:numId w:val="23"/>
        </w:numPr>
        <w:ind w:left="567" w:hanging="567"/>
      </w:pPr>
      <w:r>
        <w:t>There are currently over 4,000 Level 3 vocational qualifications regulated by Ofqual and approved by DfE for use with students aged 16-19. It is important that there is flexibility and variety in the qualifications market to meet the needs of a wide range of sectors and specialist professional roles. Nevertheless studies of employers, sector organisations and HE institutions suggest that they find the range of qualifications confusing, and have a limited understanding of the relative value of vocational qualifications in their sector or subject area.</w:t>
      </w:r>
    </w:p>
    <w:p w14:paraId="2FFD5DF2" w14:textId="77777777" w:rsidR="007C1F93" w:rsidRPr="001E784E" w:rsidRDefault="007C1F93" w:rsidP="00283486">
      <w:pPr>
        <w:ind w:left="567" w:hanging="567"/>
        <w:rPr>
          <w:sz w:val="20"/>
        </w:rPr>
      </w:pPr>
    </w:p>
    <w:p w14:paraId="2609CB55" w14:textId="39678DE7" w:rsidR="007C1F93" w:rsidRPr="00CE11E1" w:rsidRDefault="007C1F93" w:rsidP="00B942C0">
      <w:pPr>
        <w:numPr>
          <w:ilvl w:val="0"/>
          <w:numId w:val="23"/>
        </w:numPr>
        <w:ind w:left="567" w:hanging="567"/>
        <w:rPr>
          <w:szCs w:val="24"/>
        </w:rPr>
      </w:pPr>
      <w:r>
        <w:t xml:space="preserve">The current performance table system at 16-19 may have contributed to this. </w:t>
      </w:r>
      <w:r w:rsidRPr="00CE11E1">
        <w:rPr>
          <w:szCs w:val="24"/>
        </w:rPr>
        <w:t xml:space="preserve">By counting </w:t>
      </w:r>
      <w:r>
        <w:rPr>
          <w:szCs w:val="24"/>
        </w:rPr>
        <w:t>all L</w:t>
      </w:r>
      <w:r w:rsidRPr="00CE11E1">
        <w:rPr>
          <w:szCs w:val="24"/>
        </w:rPr>
        <w:t xml:space="preserve">evel 3 </w:t>
      </w:r>
      <w:r w:rsidR="001E784E">
        <w:rPr>
          <w:szCs w:val="24"/>
        </w:rPr>
        <w:t>qualifications as ‘</w:t>
      </w:r>
      <w:r w:rsidRPr="00CE11E1">
        <w:rPr>
          <w:szCs w:val="24"/>
        </w:rPr>
        <w:t>equivalent</w:t>
      </w:r>
      <w:r w:rsidR="001E784E">
        <w:rPr>
          <w:szCs w:val="24"/>
        </w:rPr>
        <w:t>’</w:t>
      </w:r>
      <w:r w:rsidR="001E067B">
        <w:rPr>
          <w:szCs w:val="24"/>
        </w:rPr>
        <w:t xml:space="preserve"> to A</w:t>
      </w:r>
      <w:r w:rsidRPr="00CE11E1">
        <w:rPr>
          <w:szCs w:val="24"/>
        </w:rPr>
        <w:t xml:space="preserve"> levels, </w:t>
      </w:r>
      <w:r>
        <w:rPr>
          <w:szCs w:val="24"/>
        </w:rPr>
        <w:t>it hinders</w:t>
      </w:r>
      <w:r w:rsidRPr="00CE11E1">
        <w:rPr>
          <w:szCs w:val="24"/>
        </w:rPr>
        <w:t xml:space="preserve"> students and institutions from differentiating between qualifications </w:t>
      </w:r>
      <w:r>
        <w:rPr>
          <w:szCs w:val="24"/>
        </w:rPr>
        <w:t>which have different purposes</w:t>
      </w:r>
      <w:r w:rsidRPr="00CE11E1">
        <w:rPr>
          <w:szCs w:val="24"/>
        </w:rPr>
        <w:t xml:space="preserve">. It </w:t>
      </w:r>
      <w:r>
        <w:rPr>
          <w:szCs w:val="24"/>
        </w:rPr>
        <w:t xml:space="preserve">may </w:t>
      </w:r>
      <w:r w:rsidRPr="00CE11E1">
        <w:rPr>
          <w:szCs w:val="24"/>
        </w:rPr>
        <w:t>also create a perverse incentive for insti</w:t>
      </w:r>
      <w:r>
        <w:rPr>
          <w:szCs w:val="24"/>
        </w:rPr>
        <w:t>tutions to guide students into</w:t>
      </w:r>
      <w:r w:rsidRPr="00CE11E1">
        <w:rPr>
          <w:szCs w:val="24"/>
        </w:rPr>
        <w:t xml:space="preserve"> </w:t>
      </w:r>
      <w:r>
        <w:rPr>
          <w:szCs w:val="24"/>
        </w:rPr>
        <w:t>‘easier to pass’</w:t>
      </w:r>
      <w:r w:rsidRPr="00CE11E1">
        <w:rPr>
          <w:szCs w:val="24"/>
        </w:rPr>
        <w:t xml:space="preserve"> qualifications in order to boost their ranking in </w:t>
      </w:r>
      <w:r>
        <w:rPr>
          <w:szCs w:val="24"/>
        </w:rPr>
        <w:t>performance</w:t>
      </w:r>
      <w:r w:rsidRPr="00CE11E1">
        <w:rPr>
          <w:szCs w:val="24"/>
        </w:rPr>
        <w:t xml:space="preserve"> tables. </w:t>
      </w:r>
    </w:p>
    <w:p w14:paraId="60CA3B1E" w14:textId="7E29430F" w:rsidR="007C1F93" w:rsidRPr="001D6169" w:rsidRDefault="007C1F93" w:rsidP="007C1F93">
      <w:pPr>
        <w:rPr>
          <w:szCs w:val="24"/>
        </w:rPr>
      </w:pPr>
      <w:r>
        <w:rPr>
          <w:b/>
          <w:sz w:val="28"/>
          <w:szCs w:val="28"/>
        </w:rPr>
        <w:br w:type="page"/>
      </w:r>
      <w:r w:rsidRPr="001D6169">
        <w:rPr>
          <w:b/>
          <w:sz w:val="28"/>
          <w:szCs w:val="28"/>
        </w:rPr>
        <w:lastRenderedPageBreak/>
        <w:t xml:space="preserve">Section 2: </w:t>
      </w:r>
      <w:r w:rsidR="00B444C1" w:rsidRPr="00B444C1">
        <w:rPr>
          <w:b/>
          <w:sz w:val="28"/>
          <w:szCs w:val="28"/>
        </w:rPr>
        <w:t>How should we describe and categorise post-16 qualifications</w:t>
      </w:r>
      <w:r w:rsidR="00264A51">
        <w:rPr>
          <w:b/>
          <w:sz w:val="28"/>
          <w:szCs w:val="28"/>
        </w:rPr>
        <w:t>?</w:t>
      </w:r>
    </w:p>
    <w:p w14:paraId="494AD36D" w14:textId="77777777" w:rsidR="007C1F93" w:rsidRPr="00CB6028" w:rsidRDefault="007C1F93" w:rsidP="007C1F93">
      <w:pPr>
        <w:pStyle w:val="ListParagraph"/>
        <w:ind w:left="0"/>
        <w:rPr>
          <w:rFonts w:cs="Arial"/>
          <w:szCs w:val="24"/>
        </w:rPr>
      </w:pPr>
    </w:p>
    <w:p w14:paraId="569DDB28" w14:textId="77777777" w:rsidR="007C1F93" w:rsidRPr="00B942C0" w:rsidRDefault="007C1F93" w:rsidP="00B942C0">
      <w:pPr>
        <w:pStyle w:val="ListParagraph"/>
        <w:widowControl/>
        <w:numPr>
          <w:ilvl w:val="0"/>
          <w:numId w:val="18"/>
        </w:numPr>
        <w:overflowPunct/>
        <w:autoSpaceDE/>
        <w:adjustRightInd/>
        <w:ind w:left="709" w:hanging="709"/>
        <w:textAlignment w:val="auto"/>
      </w:pPr>
      <w:r w:rsidRPr="00E11FB5">
        <w:t>This consultation proposes reforming post-16 performance table headline indicators to split L</w:t>
      </w:r>
      <w:r w:rsidRPr="00283486">
        <w:t>evel 3 qualifications in</w:t>
      </w:r>
      <w:r w:rsidRPr="00600CA8">
        <w:t xml:space="preserve">to three distinct categories. Categorising qualifications in terms of their purpose and progression routes will help students identify where a qualification is likely to lead. The first relates to Academic qualifications, the second and third to different </w:t>
      </w:r>
      <w:r w:rsidRPr="00110E62">
        <w:t>types of Vocational qualifications:</w:t>
      </w:r>
    </w:p>
    <w:p w14:paraId="00ED7037" w14:textId="77777777" w:rsidR="007C1F93" w:rsidRPr="00CB6028" w:rsidRDefault="007C1F93" w:rsidP="007C1F93">
      <w:pPr>
        <w:pStyle w:val="ListParagraph"/>
        <w:widowControl/>
        <w:overflowPunct/>
        <w:autoSpaceDE/>
        <w:autoSpaceDN/>
        <w:adjustRightInd/>
        <w:ind w:left="1134"/>
        <w:textAlignment w:val="auto"/>
        <w:rPr>
          <w:rFonts w:eastAsia="Calibri" w:cs="Arial"/>
          <w:szCs w:val="24"/>
        </w:rPr>
      </w:pPr>
    </w:p>
    <w:p w14:paraId="2FF6A9ED" w14:textId="77777777" w:rsidR="007C1F93" w:rsidRPr="00A82510" w:rsidRDefault="007C1F93" w:rsidP="00B942C0">
      <w:pPr>
        <w:pStyle w:val="ListParagraph"/>
        <w:widowControl/>
        <w:numPr>
          <w:ilvl w:val="1"/>
          <w:numId w:val="18"/>
        </w:numPr>
        <w:overflowPunct/>
        <w:autoSpaceDE/>
        <w:autoSpaceDN/>
        <w:adjustRightInd/>
        <w:spacing w:after="120"/>
        <w:ind w:left="1134" w:hanging="425"/>
        <w:contextualSpacing w:val="0"/>
        <w:textAlignment w:val="auto"/>
        <w:rPr>
          <w:rStyle w:val="Emphasis"/>
          <w:rFonts w:eastAsia="Calibri" w:cs="Arial"/>
          <w:i w:val="0"/>
          <w:iCs w:val="0"/>
          <w:szCs w:val="24"/>
        </w:rPr>
      </w:pPr>
      <w:r w:rsidRPr="00CB6028">
        <w:rPr>
          <w:rStyle w:val="Emphasis"/>
          <w:i w:val="0"/>
        </w:rPr>
        <w:t xml:space="preserve">‘Academic Qualifications’ including A/AS levels (including double and applied versions), International Baccalaureate (including standard/higher </w:t>
      </w:r>
      <w:r w:rsidRPr="00A82510">
        <w:rPr>
          <w:rStyle w:val="Emphasis"/>
          <w:i w:val="0"/>
        </w:rPr>
        <w:t>components), Pre-U Principal/short course, AQA Baccalaureate Core, and other similar high quality academic qualifications that may be introduced in the future. The primary purpose of these qualifications is to secure entry to Higher Education;</w:t>
      </w:r>
    </w:p>
    <w:p w14:paraId="24E1A891" w14:textId="0A3EA9E9" w:rsidR="007C1F93" w:rsidRPr="00A82510" w:rsidRDefault="007C1F93" w:rsidP="00B942C0">
      <w:pPr>
        <w:pStyle w:val="ListParagraph"/>
        <w:widowControl/>
        <w:numPr>
          <w:ilvl w:val="1"/>
          <w:numId w:val="18"/>
        </w:numPr>
        <w:overflowPunct/>
        <w:autoSpaceDE/>
        <w:autoSpaceDN/>
        <w:adjustRightInd/>
        <w:spacing w:after="120"/>
        <w:ind w:left="1134" w:hanging="425"/>
        <w:contextualSpacing w:val="0"/>
        <w:textAlignment w:val="auto"/>
        <w:rPr>
          <w:rFonts w:eastAsia="Calibri" w:cs="Arial"/>
          <w:szCs w:val="24"/>
        </w:rPr>
      </w:pPr>
      <w:r w:rsidRPr="00A82510">
        <w:rPr>
          <w:rStyle w:val="Emphasis"/>
          <w:i w:val="0"/>
        </w:rPr>
        <w:t xml:space="preserve">'Applied General </w:t>
      </w:r>
      <w:r>
        <w:rPr>
          <w:rStyle w:val="Emphasis"/>
          <w:i w:val="0"/>
        </w:rPr>
        <w:t>Q</w:t>
      </w:r>
      <w:r w:rsidRPr="00A82510">
        <w:rPr>
          <w:rStyle w:val="Emphasis"/>
          <w:i w:val="0"/>
        </w:rPr>
        <w:t>ualifications' intended for young people who wish to c</w:t>
      </w:r>
      <w:r>
        <w:rPr>
          <w:rStyle w:val="Emphasis"/>
          <w:i w:val="0"/>
        </w:rPr>
        <w:t>ontinue</w:t>
      </w:r>
      <w:r w:rsidRPr="00A82510">
        <w:rPr>
          <w:rStyle w:val="Emphasis"/>
          <w:i w:val="0"/>
        </w:rPr>
        <w:t xml:space="preserve"> their general education and learn in an applied way.  These qualifications will combine theory and </w:t>
      </w:r>
      <w:r>
        <w:rPr>
          <w:rStyle w:val="Emphasis"/>
          <w:i w:val="0"/>
        </w:rPr>
        <w:t xml:space="preserve">some </w:t>
      </w:r>
      <w:r w:rsidRPr="00A82510">
        <w:rPr>
          <w:rStyle w:val="Emphasis"/>
          <w:i w:val="0"/>
        </w:rPr>
        <w:t>practice for a sector subject area</w:t>
      </w:r>
      <w:r w:rsidRPr="00A82510">
        <w:rPr>
          <w:rStyle w:val="FootnoteReference"/>
          <w:iCs/>
        </w:rPr>
        <w:footnoteReference w:id="13"/>
      </w:r>
      <w:r w:rsidRPr="00A82510">
        <w:rPr>
          <w:rStyle w:val="Emphasis"/>
          <w:i w:val="0"/>
        </w:rPr>
        <w:t xml:space="preserve"> (e.g. manufacturing technologies, retailing and wholesaling or travel and tourism) </w:t>
      </w:r>
      <w:r w:rsidRPr="00A82510">
        <w:rPr>
          <w:rStyle w:val="Emphasis"/>
          <w:i w:val="0"/>
          <w:iCs w:val="0"/>
        </w:rPr>
        <w:t>but do not directly prepare students for</w:t>
      </w:r>
      <w:r w:rsidR="007E3DD6">
        <w:rPr>
          <w:rStyle w:val="Emphasis"/>
          <w:i w:val="0"/>
          <w:iCs w:val="0"/>
        </w:rPr>
        <w:t xml:space="preserve"> a specific occupation. </w:t>
      </w:r>
      <w:r w:rsidRPr="00A82510">
        <w:rPr>
          <w:rFonts w:cs="Arial"/>
          <w:szCs w:val="24"/>
        </w:rPr>
        <w:t xml:space="preserve">These qualifications </w:t>
      </w:r>
      <w:r>
        <w:rPr>
          <w:rFonts w:cs="Arial"/>
          <w:szCs w:val="24"/>
        </w:rPr>
        <w:t xml:space="preserve">are intended to </w:t>
      </w:r>
      <w:r w:rsidRPr="00A82510">
        <w:rPr>
          <w:rFonts w:cs="Arial"/>
          <w:szCs w:val="24"/>
        </w:rPr>
        <w:t>provide broad progression opportunities</w:t>
      </w:r>
      <w:r w:rsidR="001E067B">
        <w:rPr>
          <w:rFonts w:cs="Arial"/>
          <w:szCs w:val="24"/>
        </w:rPr>
        <w:t xml:space="preserve"> and are often taken alongside A</w:t>
      </w:r>
      <w:r w:rsidRPr="00A82510">
        <w:rPr>
          <w:rFonts w:cs="Arial"/>
          <w:szCs w:val="24"/>
        </w:rPr>
        <w:t xml:space="preserve"> levels, </w:t>
      </w:r>
      <w:r w:rsidRPr="00A82510">
        <w:t xml:space="preserve">where they may satisfy an entry </w:t>
      </w:r>
      <w:r w:rsidRPr="00A82510">
        <w:rPr>
          <w:szCs w:val="24"/>
        </w:rPr>
        <w:t>requirement for HE institutions; and</w:t>
      </w:r>
    </w:p>
    <w:p w14:paraId="000C7BE3" w14:textId="2E475460" w:rsidR="007C1F93" w:rsidRPr="00A82510" w:rsidRDefault="007C1F93" w:rsidP="00B942C0">
      <w:pPr>
        <w:pStyle w:val="ListParagraph"/>
        <w:widowControl/>
        <w:numPr>
          <w:ilvl w:val="1"/>
          <w:numId w:val="18"/>
        </w:numPr>
        <w:overflowPunct/>
        <w:autoSpaceDE/>
        <w:autoSpaceDN/>
        <w:adjustRightInd/>
        <w:ind w:left="1134" w:hanging="425"/>
        <w:contextualSpacing w:val="0"/>
        <w:textAlignment w:val="auto"/>
        <w:rPr>
          <w:rStyle w:val="Emphasis"/>
          <w:rFonts w:eastAsia="Calibri" w:cs="Arial"/>
          <w:i w:val="0"/>
          <w:iCs w:val="0"/>
          <w:szCs w:val="24"/>
        </w:rPr>
      </w:pPr>
      <w:r w:rsidRPr="00A82510">
        <w:rPr>
          <w:rStyle w:val="Emphasis"/>
          <w:i w:val="0"/>
          <w:iCs w:val="0"/>
          <w:szCs w:val="24"/>
        </w:rPr>
        <w:t>'Occupation</w:t>
      </w:r>
      <w:r>
        <w:rPr>
          <w:rStyle w:val="Emphasis"/>
          <w:i w:val="0"/>
          <w:iCs w:val="0"/>
          <w:szCs w:val="24"/>
        </w:rPr>
        <w:t>al</w:t>
      </w:r>
      <w:r w:rsidRPr="00A82510">
        <w:rPr>
          <w:rStyle w:val="Emphasis"/>
          <w:i w:val="0"/>
          <w:iCs w:val="0"/>
          <w:szCs w:val="24"/>
        </w:rPr>
        <w:t xml:space="preserve"> Qualifications’ intended for young people who have a clear idea about an occupation they want to pursu</w:t>
      </w:r>
      <w:r w:rsidR="007E3DD6">
        <w:rPr>
          <w:rStyle w:val="Emphasis"/>
          <w:i w:val="0"/>
          <w:iCs w:val="0"/>
          <w:szCs w:val="24"/>
        </w:rPr>
        <w:t xml:space="preserve">e and are ready to specialise. </w:t>
      </w:r>
      <w:r w:rsidRPr="00A82510">
        <w:rPr>
          <w:rStyle w:val="Emphasis"/>
          <w:i w:val="0"/>
          <w:iCs w:val="0"/>
          <w:szCs w:val="24"/>
        </w:rPr>
        <w:t xml:space="preserve">These qualifications </w:t>
      </w:r>
      <w:r>
        <w:rPr>
          <w:rStyle w:val="Emphasis"/>
          <w:i w:val="0"/>
          <w:iCs w:val="0"/>
          <w:szCs w:val="24"/>
        </w:rPr>
        <w:t xml:space="preserve">may </w:t>
      </w:r>
      <w:r w:rsidRPr="00A82510">
        <w:rPr>
          <w:rStyle w:val="Emphasis"/>
          <w:i w:val="0"/>
          <w:iCs w:val="0"/>
          <w:szCs w:val="24"/>
        </w:rPr>
        <w:t xml:space="preserve">prepare students for a specific job role by confirming </w:t>
      </w:r>
      <w:r w:rsidRPr="00A82510">
        <w:rPr>
          <w:szCs w:val="24"/>
        </w:rPr>
        <w:t>occupational competence</w:t>
      </w:r>
      <w:r w:rsidR="00487852" w:rsidRPr="00487852">
        <w:rPr>
          <w:szCs w:val="24"/>
        </w:rPr>
        <w:t xml:space="preserve"> </w:t>
      </w:r>
      <w:r w:rsidR="00487852">
        <w:rPr>
          <w:szCs w:val="24"/>
        </w:rPr>
        <w:t>and could form part of a related apprenticeship framework</w:t>
      </w:r>
      <w:r w:rsidRPr="00A82510">
        <w:rPr>
          <w:szCs w:val="24"/>
        </w:rPr>
        <w:t xml:space="preserve">. </w:t>
      </w:r>
      <w:r>
        <w:rPr>
          <w:szCs w:val="24"/>
        </w:rPr>
        <w:t xml:space="preserve">They </w:t>
      </w:r>
      <w:r w:rsidRPr="00A82510">
        <w:rPr>
          <w:szCs w:val="24"/>
        </w:rPr>
        <w:t>may provide a ‘licence to practi</w:t>
      </w:r>
      <w:r w:rsidR="00CF5FB6">
        <w:rPr>
          <w:szCs w:val="24"/>
        </w:rPr>
        <w:t>s</w:t>
      </w:r>
      <w:r w:rsidRPr="00A82510">
        <w:rPr>
          <w:szCs w:val="24"/>
        </w:rPr>
        <w:t>e’</w:t>
      </w:r>
      <w:r w:rsidR="00113302">
        <w:rPr>
          <w:szCs w:val="24"/>
        </w:rPr>
        <w:t>, as required</w:t>
      </w:r>
      <w:r>
        <w:rPr>
          <w:szCs w:val="24"/>
        </w:rPr>
        <w:t xml:space="preserve"> </w:t>
      </w:r>
      <w:r w:rsidR="00113302">
        <w:rPr>
          <w:szCs w:val="24"/>
        </w:rPr>
        <w:t>for</w:t>
      </w:r>
      <w:r>
        <w:rPr>
          <w:szCs w:val="24"/>
        </w:rPr>
        <w:t xml:space="preserve"> some occupations (</w:t>
      </w:r>
      <w:r w:rsidR="00113302">
        <w:rPr>
          <w:szCs w:val="24"/>
        </w:rPr>
        <w:t xml:space="preserve">e.g. </w:t>
      </w:r>
      <w:r>
        <w:rPr>
          <w:szCs w:val="24"/>
        </w:rPr>
        <w:t>gas installation or veterinary nurs</w:t>
      </w:r>
      <w:r w:rsidR="00113302">
        <w:rPr>
          <w:szCs w:val="24"/>
        </w:rPr>
        <w:t>ing</w:t>
      </w:r>
      <w:r>
        <w:rPr>
          <w:szCs w:val="24"/>
        </w:rPr>
        <w:t>) or</w:t>
      </w:r>
      <w:r w:rsidRPr="00A82510">
        <w:rPr>
          <w:szCs w:val="24"/>
        </w:rPr>
        <w:t xml:space="preserve"> offer exemption from professional exams</w:t>
      </w:r>
      <w:r>
        <w:rPr>
          <w:szCs w:val="24"/>
        </w:rPr>
        <w:t xml:space="preserve"> (</w:t>
      </w:r>
      <w:r w:rsidR="00113302">
        <w:rPr>
          <w:szCs w:val="24"/>
        </w:rPr>
        <w:t xml:space="preserve">e.g. </w:t>
      </w:r>
      <w:r>
        <w:rPr>
          <w:szCs w:val="24"/>
        </w:rPr>
        <w:t>engineering or accountancy). Alternatively, they may support progression to a specialist degree or higher education qualification that qualifies entry to an occupation (many health professions, for example)</w:t>
      </w:r>
      <w:r>
        <w:t>.</w:t>
      </w:r>
    </w:p>
    <w:p w14:paraId="78280741" w14:textId="77777777" w:rsidR="007C1F93" w:rsidRDefault="007C1F93" w:rsidP="007C1F93">
      <w:pPr>
        <w:pStyle w:val="ListParagraph"/>
        <w:ind w:left="0"/>
        <w:rPr>
          <w:szCs w:val="24"/>
        </w:rPr>
      </w:pPr>
    </w:p>
    <w:p w14:paraId="32AB454C" w14:textId="33BC4A9D" w:rsidR="007C1F93" w:rsidRDefault="007C1F93" w:rsidP="00B942C0">
      <w:pPr>
        <w:pBdr>
          <w:top w:val="single" w:sz="4" w:space="1" w:color="auto"/>
          <w:left w:val="single" w:sz="4" w:space="4" w:color="auto"/>
          <w:bottom w:val="single" w:sz="4" w:space="1" w:color="auto"/>
          <w:right w:val="single" w:sz="4" w:space="4" w:color="auto"/>
        </w:pBdr>
        <w:shd w:val="clear" w:color="auto" w:fill="FFFFFF"/>
        <w:spacing w:after="120"/>
        <w:ind w:left="709" w:hanging="709"/>
        <w:rPr>
          <w:szCs w:val="24"/>
        </w:rPr>
      </w:pPr>
      <w:r w:rsidRPr="00BB2803">
        <w:rPr>
          <w:szCs w:val="24"/>
        </w:rPr>
        <w:t>Q1:</w:t>
      </w:r>
      <w:r w:rsidR="00110E62">
        <w:rPr>
          <w:szCs w:val="24"/>
        </w:rPr>
        <w:tab/>
      </w:r>
      <w:r>
        <w:rPr>
          <w:szCs w:val="24"/>
        </w:rPr>
        <w:t xml:space="preserve">Do the three categories of qualifications reflect the diversity of qualifications and study aims for the 16-19 cohort? </w:t>
      </w:r>
    </w:p>
    <w:p w14:paraId="6F8E31AC" w14:textId="59874918" w:rsidR="007C1F93" w:rsidRDefault="007C1F93" w:rsidP="00B942C0">
      <w:pPr>
        <w:pBdr>
          <w:top w:val="single" w:sz="4" w:space="1" w:color="auto"/>
          <w:left w:val="single" w:sz="4" w:space="4" w:color="auto"/>
          <w:bottom w:val="single" w:sz="4" w:space="1" w:color="auto"/>
          <w:right w:val="single" w:sz="4" w:space="4" w:color="auto"/>
        </w:pBdr>
        <w:shd w:val="clear" w:color="auto" w:fill="FFFFFF"/>
        <w:spacing w:after="120"/>
        <w:ind w:left="709" w:hanging="709"/>
        <w:rPr>
          <w:szCs w:val="24"/>
        </w:rPr>
      </w:pPr>
      <w:r>
        <w:rPr>
          <w:szCs w:val="24"/>
        </w:rPr>
        <w:t>Q2:</w:t>
      </w:r>
      <w:r w:rsidR="00110E62">
        <w:rPr>
          <w:szCs w:val="24"/>
        </w:rPr>
        <w:tab/>
      </w:r>
      <w:r w:rsidRPr="00BB2803">
        <w:rPr>
          <w:szCs w:val="24"/>
        </w:rPr>
        <w:t>Are there examples of vocational qualifications which ca</w:t>
      </w:r>
      <w:r>
        <w:rPr>
          <w:szCs w:val="24"/>
        </w:rPr>
        <w:t>nnot be effectively categorised in this way?</w:t>
      </w:r>
    </w:p>
    <w:p w14:paraId="3D14951C" w14:textId="1E2B5131" w:rsidR="007C1F93" w:rsidRPr="00342078" w:rsidRDefault="007C1F93" w:rsidP="007C1F93">
      <w:pPr>
        <w:pBdr>
          <w:top w:val="single" w:sz="4" w:space="1" w:color="auto"/>
          <w:left w:val="single" w:sz="4" w:space="4" w:color="auto"/>
          <w:bottom w:val="single" w:sz="4" w:space="1" w:color="auto"/>
          <w:right w:val="single" w:sz="4" w:space="4" w:color="auto"/>
        </w:pBdr>
        <w:shd w:val="clear" w:color="auto" w:fill="FFFFFF"/>
        <w:spacing w:after="120"/>
        <w:rPr>
          <w:szCs w:val="24"/>
        </w:rPr>
      </w:pPr>
      <w:r w:rsidRPr="00342078">
        <w:t>Q3:</w:t>
      </w:r>
      <w:r w:rsidR="00110E62">
        <w:tab/>
      </w:r>
      <w:r w:rsidRPr="00342078">
        <w:t xml:space="preserve">How would these reforms impact on current apprenticeship frameworks? </w:t>
      </w:r>
    </w:p>
    <w:p w14:paraId="59A93627" w14:textId="70BA39C6" w:rsidR="007C1F93" w:rsidRDefault="007C1F93" w:rsidP="00B942C0">
      <w:pPr>
        <w:pBdr>
          <w:top w:val="single" w:sz="4" w:space="1" w:color="auto"/>
          <w:left w:val="single" w:sz="4" w:space="4" w:color="auto"/>
          <w:bottom w:val="single" w:sz="4" w:space="1" w:color="auto"/>
          <w:right w:val="single" w:sz="4" w:space="4" w:color="auto"/>
        </w:pBdr>
        <w:shd w:val="clear" w:color="auto" w:fill="FFFFFF"/>
        <w:spacing w:after="120"/>
        <w:ind w:left="720" w:hanging="720"/>
        <w:rPr>
          <w:szCs w:val="24"/>
        </w:rPr>
      </w:pPr>
      <w:r>
        <w:rPr>
          <w:szCs w:val="24"/>
        </w:rPr>
        <w:t>Q4:</w:t>
      </w:r>
      <w:r w:rsidR="00110E62">
        <w:rPr>
          <w:szCs w:val="24"/>
        </w:rPr>
        <w:tab/>
      </w:r>
      <w:r>
        <w:rPr>
          <w:szCs w:val="24"/>
        </w:rPr>
        <w:t>Do you agree the new categories of qu</w:t>
      </w:r>
      <w:r w:rsidR="00E162EA">
        <w:rPr>
          <w:szCs w:val="24"/>
        </w:rPr>
        <w:t>alification should be called ‘Academic’, ‘O</w:t>
      </w:r>
      <w:r>
        <w:rPr>
          <w:szCs w:val="24"/>
        </w:rPr>
        <w:t>ccupational’ and ‘</w:t>
      </w:r>
      <w:r w:rsidR="00E162EA">
        <w:rPr>
          <w:szCs w:val="24"/>
        </w:rPr>
        <w:t>A</w:t>
      </w:r>
      <w:r>
        <w:rPr>
          <w:szCs w:val="24"/>
        </w:rPr>
        <w:t xml:space="preserve">pplied </w:t>
      </w:r>
      <w:r w:rsidR="00E162EA">
        <w:rPr>
          <w:szCs w:val="24"/>
        </w:rPr>
        <w:t>G</w:t>
      </w:r>
      <w:r>
        <w:rPr>
          <w:szCs w:val="24"/>
        </w:rPr>
        <w:t xml:space="preserve">eneral’? </w:t>
      </w:r>
    </w:p>
    <w:p w14:paraId="53AF91E4" w14:textId="593E3C68" w:rsidR="007C1F93" w:rsidRDefault="007C1F93" w:rsidP="00096FC8">
      <w:pPr>
        <w:pBdr>
          <w:top w:val="single" w:sz="4" w:space="1" w:color="auto"/>
          <w:left w:val="single" w:sz="4" w:space="4" w:color="auto"/>
          <w:bottom w:val="single" w:sz="4" w:space="1" w:color="auto"/>
          <w:right w:val="single" w:sz="4" w:space="4" w:color="auto"/>
        </w:pBdr>
        <w:shd w:val="clear" w:color="auto" w:fill="FFFFFF"/>
        <w:spacing w:after="120"/>
        <w:ind w:left="720" w:hanging="720"/>
        <w:rPr>
          <w:szCs w:val="24"/>
        </w:rPr>
      </w:pPr>
      <w:r>
        <w:rPr>
          <w:szCs w:val="24"/>
        </w:rPr>
        <w:t>Q5:</w:t>
      </w:r>
      <w:r w:rsidR="00110E62">
        <w:rPr>
          <w:szCs w:val="24"/>
        </w:rPr>
        <w:tab/>
      </w:r>
      <w:r>
        <w:rPr>
          <w:szCs w:val="24"/>
        </w:rPr>
        <w:t xml:space="preserve">Do awarding organisations need </w:t>
      </w:r>
      <w:r w:rsidR="000D4E62">
        <w:rPr>
          <w:szCs w:val="24"/>
        </w:rPr>
        <w:t>a two year grace period</w:t>
      </w:r>
      <w:r>
        <w:rPr>
          <w:szCs w:val="24"/>
        </w:rPr>
        <w:t xml:space="preserve"> to redevelop current qualifications to meet the characteristics required for </w:t>
      </w:r>
      <w:r w:rsidR="00ED19F2">
        <w:rPr>
          <w:szCs w:val="24"/>
        </w:rPr>
        <w:t>A</w:t>
      </w:r>
      <w:r>
        <w:rPr>
          <w:szCs w:val="24"/>
        </w:rPr>
        <w:t xml:space="preserve">pplied </w:t>
      </w:r>
      <w:r w:rsidR="00ED19F2">
        <w:rPr>
          <w:szCs w:val="24"/>
        </w:rPr>
        <w:t>G</w:t>
      </w:r>
      <w:r>
        <w:rPr>
          <w:szCs w:val="24"/>
        </w:rPr>
        <w:t xml:space="preserve">eneral and </w:t>
      </w:r>
      <w:r w:rsidR="00ED19F2">
        <w:rPr>
          <w:szCs w:val="24"/>
        </w:rPr>
        <w:t>O</w:t>
      </w:r>
      <w:r>
        <w:rPr>
          <w:szCs w:val="24"/>
        </w:rPr>
        <w:t xml:space="preserve">ccupational </w:t>
      </w:r>
      <w:r w:rsidR="00ED19F2">
        <w:rPr>
          <w:szCs w:val="24"/>
        </w:rPr>
        <w:t>Q</w:t>
      </w:r>
      <w:r>
        <w:rPr>
          <w:szCs w:val="24"/>
        </w:rPr>
        <w:t xml:space="preserve">ualifications? </w:t>
      </w:r>
    </w:p>
    <w:p w14:paraId="505D7062" w14:textId="3D1B55CE" w:rsidR="007C1F93" w:rsidRDefault="007C1F93" w:rsidP="007C1F93">
      <w:pPr>
        <w:rPr>
          <w:b/>
          <w:sz w:val="28"/>
          <w:szCs w:val="28"/>
        </w:rPr>
      </w:pPr>
      <w:r>
        <w:rPr>
          <w:b/>
          <w:sz w:val="28"/>
          <w:szCs w:val="28"/>
        </w:rPr>
        <w:lastRenderedPageBreak/>
        <w:t xml:space="preserve">Section 3: </w:t>
      </w:r>
      <w:r w:rsidR="00264A51" w:rsidRPr="00264A51">
        <w:rPr>
          <w:b/>
          <w:sz w:val="28"/>
          <w:szCs w:val="28"/>
        </w:rPr>
        <w:t xml:space="preserve">How should we </w:t>
      </w:r>
      <w:r w:rsidR="00264A51">
        <w:rPr>
          <w:b/>
          <w:sz w:val="28"/>
          <w:szCs w:val="28"/>
        </w:rPr>
        <w:t>define</w:t>
      </w:r>
      <w:r w:rsidR="00264A51" w:rsidRPr="00264A51">
        <w:rPr>
          <w:b/>
          <w:sz w:val="28"/>
          <w:szCs w:val="28"/>
        </w:rPr>
        <w:t xml:space="preserve"> high value vocational qualifications</w:t>
      </w:r>
      <w:r w:rsidR="00264A51">
        <w:rPr>
          <w:b/>
          <w:sz w:val="28"/>
          <w:szCs w:val="28"/>
        </w:rPr>
        <w:t>?</w:t>
      </w:r>
    </w:p>
    <w:p w14:paraId="2BAD3459" w14:textId="77777777" w:rsidR="007C1F93" w:rsidRDefault="007C1F93" w:rsidP="007C1F93">
      <w:pPr>
        <w:pStyle w:val="ListParagraph"/>
        <w:widowControl/>
        <w:overflowPunct/>
        <w:autoSpaceDE/>
        <w:autoSpaceDN/>
        <w:adjustRightInd/>
        <w:ind w:left="0"/>
        <w:textAlignment w:val="auto"/>
        <w:rPr>
          <w:rFonts w:cs="Arial"/>
          <w:color w:val="000000"/>
          <w:szCs w:val="24"/>
          <w:lang w:val="en"/>
        </w:rPr>
      </w:pPr>
    </w:p>
    <w:p w14:paraId="2EBDFE85" w14:textId="43A05279" w:rsidR="007C1F93" w:rsidRPr="00DA04F9" w:rsidRDefault="007C1F93" w:rsidP="00B942C0">
      <w:pPr>
        <w:pStyle w:val="ListParagraph"/>
        <w:widowControl/>
        <w:numPr>
          <w:ilvl w:val="0"/>
          <w:numId w:val="17"/>
        </w:numPr>
        <w:overflowPunct/>
        <w:autoSpaceDE/>
        <w:autoSpaceDN/>
        <w:adjustRightInd/>
        <w:ind w:left="851" w:hanging="851"/>
        <w:textAlignment w:val="auto"/>
        <w:rPr>
          <w:rFonts w:cs="Arial"/>
          <w:color w:val="000000"/>
          <w:szCs w:val="24"/>
          <w:lang w:val="en"/>
        </w:rPr>
      </w:pPr>
      <w:r>
        <w:rPr>
          <w:rFonts w:cs="Arial"/>
          <w:color w:val="000000"/>
          <w:szCs w:val="24"/>
          <w:lang w:val="en"/>
        </w:rPr>
        <w:t xml:space="preserve">We </w:t>
      </w:r>
      <w:r w:rsidR="00ED19F2">
        <w:rPr>
          <w:rFonts w:cs="Arial"/>
          <w:color w:val="000000"/>
          <w:szCs w:val="24"/>
          <w:lang w:val="en"/>
        </w:rPr>
        <w:t xml:space="preserve">want </w:t>
      </w:r>
      <w:r>
        <w:rPr>
          <w:rFonts w:cs="Arial"/>
          <w:color w:val="000000"/>
          <w:szCs w:val="24"/>
          <w:lang w:val="en"/>
        </w:rPr>
        <w:t xml:space="preserve">to </w:t>
      </w:r>
      <w:r w:rsidRPr="00DA04F9">
        <w:rPr>
          <w:rFonts w:cs="Arial"/>
          <w:color w:val="000000"/>
          <w:szCs w:val="24"/>
          <w:lang w:val="en"/>
        </w:rPr>
        <w:t xml:space="preserve">incentivise </w:t>
      </w:r>
      <w:r>
        <w:rPr>
          <w:rFonts w:cs="Arial"/>
          <w:color w:val="000000"/>
          <w:szCs w:val="24"/>
          <w:lang w:val="en"/>
        </w:rPr>
        <w:t xml:space="preserve">the take up </w:t>
      </w:r>
      <w:r w:rsidRPr="00DA04F9">
        <w:rPr>
          <w:rFonts w:cs="Arial"/>
          <w:color w:val="000000"/>
          <w:szCs w:val="24"/>
          <w:lang w:val="en"/>
        </w:rPr>
        <w:t xml:space="preserve">of </w:t>
      </w:r>
      <w:r>
        <w:rPr>
          <w:rFonts w:cs="Arial"/>
          <w:color w:val="000000"/>
          <w:szCs w:val="24"/>
          <w:lang w:val="en"/>
        </w:rPr>
        <w:t xml:space="preserve">qualifications </w:t>
      </w:r>
      <w:r w:rsidRPr="00DA04F9">
        <w:rPr>
          <w:rFonts w:cs="Arial"/>
          <w:color w:val="000000"/>
          <w:szCs w:val="24"/>
          <w:lang w:val="en"/>
        </w:rPr>
        <w:t>that are</w:t>
      </w:r>
      <w:r w:rsidR="00387C96">
        <w:rPr>
          <w:rFonts w:cs="Arial"/>
          <w:color w:val="000000"/>
          <w:szCs w:val="24"/>
          <w:lang w:val="en"/>
        </w:rPr>
        <w:t xml:space="preserve"> of</w:t>
      </w:r>
      <w:r w:rsidRPr="00DA04F9">
        <w:rPr>
          <w:rFonts w:cs="Arial"/>
          <w:color w:val="000000"/>
          <w:szCs w:val="24"/>
          <w:lang w:val="en"/>
        </w:rPr>
        <w:t xml:space="preserve"> demonstrably high </w:t>
      </w:r>
      <w:r>
        <w:rPr>
          <w:rFonts w:cs="Arial"/>
          <w:color w:val="000000"/>
          <w:szCs w:val="24"/>
          <w:lang w:val="en"/>
        </w:rPr>
        <w:t>value</w:t>
      </w:r>
      <w:r w:rsidRPr="00DA04F9">
        <w:rPr>
          <w:rFonts w:cs="Arial"/>
          <w:color w:val="000000"/>
          <w:szCs w:val="24"/>
          <w:lang w:val="en"/>
        </w:rPr>
        <w:t xml:space="preserve"> and support progression to further study or a go</w:t>
      </w:r>
      <w:r>
        <w:rPr>
          <w:rFonts w:cs="Arial"/>
          <w:color w:val="000000"/>
          <w:szCs w:val="24"/>
          <w:lang w:val="en"/>
        </w:rPr>
        <w:t xml:space="preserve">od job by only recognising those qualifications which meet </w:t>
      </w:r>
      <w:r w:rsidR="00BD6814">
        <w:rPr>
          <w:rFonts w:cs="Arial"/>
          <w:color w:val="000000"/>
          <w:szCs w:val="24"/>
          <w:lang w:val="en"/>
        </w:rPr>
        <w:t xml:space="preserve">pre-defined </w:t>
      </w:r>
      <w:r w:rsidR="004E7AA0">
        <w:rPr>
          <w:rFonts w:cs="Arial"/>
          <w:color w:val="000000"/>
          <w:szCs w:val="24"/>
          <w:lang w:val="en"/>
        </w:rPr>
        <w:t>standards</w:t>
      </w:r>
      <w:r>
        <w:rPr>
          <w:rFonts w:cs="Arial"/>
          <w:color w:val="000000"/>
          <w:szCs w:val="24"/>
          <w:lang w:val="en"/>
        </w:rPr>
        <w:t xml:space="preserve"> in the performance tables</w:t>
      </w:r>
      <w:r w:rsidRPr="00DA04F9">
        <w:rPr>
          <w:rFonts w:cs="Arial"/>
          <w:color w:val="000000"/>
          <w:szCs w:val="24"/>
          <w:lang w:val="en"/>
        </w:rPr>
        <w:t>.</w:t>
      </w:r>
    </w:p>
    <w:p w14:paraId="49D9F308" w14:textId="77777777" w:rsidR="007C1F93" w:rsidRPr="00E11FB5" w:rsidRDefault="007C1F93" w:rsidP="00B942C0">
      <w:pPr>
        <w:pStyle w:val="ListParagraph"/>
        <w:widowControl/>
        <w:overflowPunct/>
        <w:autoSpaceDE/>
        <w:autoSpaceDN/>
        <w:adjustRightInd/>
        <w:ind w:left="851" w:hanging="851"/>
        <w:textAlignment w:val="auto"/>
        <w:rPr>
          <w:rFonts w:cs="Arial"/>
          <w:color w:val="000000"/>
          <w:szCs w:val="24"/>
          <w:lang w:val="en"/>
        </w:rPr>
      </w:pPr>
    </w:p>
    <w:p w14:paraId="494D5505" w14:textId="7888CCFC" w:rsidR="007C1F93" w:rsidRDefault="007C1F93" w:rsidP="00B942C0">
      <w:pPr>
        <w:pStyle w:val="ListParagraph"/>
        <w:widowControl/>
        <w:numPr>
          <w:ilvl w:val="0"/>
          <w:numId w:val="17"/>
        </w:numPr>
        <w:overflowPunct/>
        <w:autoSpaceDE/>
        <w:autoSpaceDN/>
        <w:adjustRightInd/>
        <w:ind w:left="851" w:hanging="851"/>
        <w:textAlignment w:val="auto"/>
        <w:rPr>
          <w:rFonts w:cs="Arial"/>
          <w:color w:val="000000"/>
          <w:szCs w:val="24"/>
          <w:lang w:val="en"/>
        </w:rPr>
      </w:pPr>
      <w:r w:rsidRPr="00DA04F9">
        <w:rPr>
          <w:rFonts w:cs="Arial"/>
          <w:color w:val="000000"/>
          <w:szCs w:val="24"/>
          <w:lang w:val="en"/>
        </w:rPr>
        <w:t xml:space="preserve">As </w:t>
      </w:r>
      <w:r>
        <w:rPr>
          <w:rFonts w:cs="Arial"/>
          <w:color w:val="000000"/>
          <w:szCs w:val="24"/>
          <w:lang w:val="en"/>
        </w:rPr>
        <w:t xml:space="preserve">we have done </w:t>
      </w:r>
      <w:r w:rsidRPr="00DA04F9">
        <w:rPr>
          <w:rFonts w:cs="Arial"/>
          <w:color w:val="000000"/>
          <w:szCs w:val="24"/>
          <w:lang w:val="en"/>
        </w:rPr>
        <w:t xml:space="preserve">with 14-16 </w:t>
      </w:r>
      <w:r>
        <w:rPr>
          <w:rFonts w:cs="Arial"/>
          <w:color w:val="000000"/>
          <w:szCs w:val="24"/>
          <w:lang w:val="en"/>
        </w:rPr>
        <w:t xml:space="preserve">vocational </w:t>
      </w:r>
      <w:r w:rsidRPr="00DA04F9">
        <w:rPr>
          <w:rFonts w:cs="Arial"/>
          <w:color w:val="000000"/>
          <w:szCs w:val="24"/>
          <w:lang w:val="en"/>
        </w:rPr>
        <w:t xml:space="preserve">qualifications, we </w:t>
      </w:r>
      <w:r>
        <w:rPr>
          <w:rFonts w:cs="Arial"/>
          <w:color w:val="000000"/>
          <w:szCs w:val="24"/>
          <w:lang w:val="en"/>
        </w:rPr>
        <w:t xml:space="preserve">intend to operate </w:t>
      </w:r>
      <w:r w:rsidRPr="00DA04F9">
        <w:rPr>
          <w:rFonts w:cs="Arial"/>
          <w:color w:val="000000"/>
          <w:szCs w:val="24"/>
          <w:lang w:val="en"/>
        </w:rPr>
        <w:t>a</w:t>
      </w:r>
      <w:r>
        <w:rPr>
          <w:rFonts w:cs="Arial"/>
          <w:color w:val="000000"/>
          <w:szCs w:val="24"/>
          <w:lang w:val="en"/>
        </w:rPr>
        <w:t>n easily understood and</w:t>
      </w:r>
      <w:r w:rsidRPr="00DA04F9">
        <w:rPr>
          <w:rFonts w:cs="Arial"/>
          <w:color w:val="000000"/>
          <w:szCs w:val="24"/>
          <w:lang w:val="en"/>
        </w:rPr>
        <w:t xml:space="preserve"> transparent way of </w:t>
      </w:r>
      <w:r>
        <w:rPr>
          <w:rFonts w:cs="Arial"/>
          <w:color w:val="000000"/>
          <w:szCs w:val="24"/>
          <w:lang w:val="en"/>
        </w:rPr>
        <w:t xml:space="preserve">selecting </w:t>
      </w:r>
      <w:r w:rsidRPr="00DA04F9">
        <w:rPr>
          <w:rFonts w:cs="Arial"/>
          <w:color w:val="000000"/>
          <w:szCs w:val="24"/>
          <w:lang w:val="en"/>
        </w:rPr>
        <w:t xml:space="preserve">the qualifications which will </w:t>
      </w:r>
      <w:r>
        <w:rPr>
          <w:rFonts w:cs="Arial"/>
          <w:color w:val="000000"/>
          <w:szCs w:val="24"/>
          <w:lang w:val="en"/>
        </w:rPr>
        <w:t>be recognised in</w:t>
      </w:r>
      <w:r w:rsidR="00ED19F2">
        <w:rPr>
          <w:rFonts w:cs="Arial"/>
          <w:color w:val="000000"/>
          <w:szCs w:val="24"/>
          <w:lang w:val="en"/>
        </w:rPr>
        <w:t xml:space="preserve"> performance</w:t>
      </w:r>
      <w:r>
        <w:rPr>
          <w:rFonts w:cs="Arial"/>
          <w:color w:val="000000"/>
          <w:szCs w:val="24"/>
          <w:lang w:val="en"/>
        </w:rPr>
        <w:t xml:space="preserve"> tables. Annex A</w:t>
      </w:r>
      <w:r w:rsidRPr="00DA04F9">
        <w:rPr>
          <w:rFonts w:cs="Arial"/>
          <w:color w:val="000000"/>
          <w:szCs w:val="24"/>
          <w:lang w:val="en"/>
        </w:rPr>
        <w:t xml:space="preserve"> provides a flow diagram </w:t>
      </w:r>
      <w:r>
        <w:rPr>
          <w:rFonts w:cs="Arial"/>
          <w:color w:val="000000"/>
          <w:szCs w:val="24"/>
          <w:lang w:val="en"/>
        </w:rPr>
        <w:t>illustrating</w:t>
      </w:r>
      <w:r w:rsidRPr="00DA04F9">
        <w:rPr>
          <w:rFonts w:cs="Arial"/>
          <w:color w:val="000000"/>
          <w:szCs w:val="24"/>
          <w:lang w:val="en"/>
        </w:rPr>
        <w:t xml:space="preserve"> how the process of selecting qualifications that will count in the tables </w:t>
      </w:r>
      <w:r>
        <w:rPr>
          <w:rFonts w:cs="Arial"/>
          <w:color w:val="000000"/>
          <w:szCs w:val="24"/>
          <w:lang w:val="en"/>
        </w:rPr>
        <w:t>could</w:t>
      </w:r>
      <w:r w:rsidRPr="00DA04F9">
        <w:rPr>
          <w:rFonts w:cs="Arial"/>
          <w:color w:val="000000"/>
          <w:szCs w:val="24"/>
          <w:lang w:val="en"/>
        </w:rPr>
        <w:t xml:space="preserve"> work.</w:t>
      </w:r>
    </w:p>
    <w:p w14:paraId="36C375DC" w14:textId="77777777" w:rsidR="007C1F93" w:rsidRDefault="007C1F93" w:rsidP="00110E62">
      <w:pPr>
        <w:pStyle w:val="ListParagraph"/>
        <w:ind w:left="851" w:hanging="851"/>
        <w:rPr>
          <w:rFonts w:cs="Arial"/>
          <w:color w:val="000000"/>
          <w:szCs w:val="24"/>
          <w:lang w:val="en"/>
        </w:rPr>
      </w:pPr>
    </w:p>
    <w:p w14:paraId="038D58FC" w14:textId="3DAF8E9D" w:rsidR="007C1F93" w:rsidRPr="007C7A63" w:rsidRDefault="007C1F93" w:rsidP="00B942C0">
      <w:pPr>
        <w:pStyle w:val="ListParagraph"/>
        <w:widowControl/>
        <w:numPr>
          <w:ilvl w:val="0"/>
          <w:numId w:val="17"/>
        </w:numPr>
        <w:overflowPunct/>
        <w:autoSpaceDE/>
        <w:autoSpaceDN/>
        <w:adjustRightInd/>
        <w:ind w:left="851" w:hanging="851"/>
        <w:textAlignment w:val="auto"/>
        <w:rPr>
          <w:rFonts w:eastAsia="Calibri" w:cs="Arial"/>
          <w:szCs w:val="24"/>
        </w:rPr>
      </w:pPr>
      <w:r>
        <w:rPr>
          <w:rFonts w:cs="Arial"/>
          <w:color w:val="000000"/>
          <w:szCs w:val="24"/>
          <w:lang w:val="en"/>
        </w:rPr>
        <w:t xml:space="preserve">All Level 3 qualifications will be subject to this process with the exception of </w:t>
      </w:r>
      <w:r w:rsidRPr="007C7A63">
        <w:rPr>
          <w:rStyle w:val="Emphasis"/>
          <w:i w:val="0"/>
        </w:rPr>
        <w:t>A/AS levels</w:t>
      </w:r>
      <w:r w:rsidRPr="006C2DC7">
        <w:rPr>
          <w:rStyle w:val="Emphasis"/>
          <w:i w:val="0"/>
        </w:rPr>
        <w:t>,</w:t>
      </w:r>
      <w:r w:rsidRPr="006C2DC7">
        <w:rPr>
          <w:rFonts w:cs="Arial"/>
          <w:szCs w:val="24"/>
          <w:lang w:val="en"/>
        </w:rPr>
        <w:t xml:space="preserve"> (</w:t>
      </w:r>
      <w:r w:rsidRPr="006C2DC7">
        <w:rPr>
          <w:rStyle w:val="Emphasis"/>
          <w:i w:val="0"/>
        </w:rPr>
        <w:t>including</w:t>
      </w:r>
      <w:r w:rsidRPr="007C7A63">
        <w:rPr>
          <w:rStyle w:val="Emphasis"/>
          <w:i w:val="0"/>
        </w:rPr>
        <w:t xml:space="preserve"> double and applied versions), International Baccalaureate (including standard/higher components), Pre-U Principal/short course,</w:t>
      </w:r>
      <w:r w:rsidR="00387C96">
        <w:rPr>
          <w:rStyle w:val="Emphasis"/>
          <w:i w:val="0"/>
        </w:rPr>
        <w:t xml:space="preserve"> and</w:t>
      </w:r>
      <w:r w:rsidRPr="007C7A63">
        <w:rPr>
          <w:rStyle w:val="Emphasis"/>
          <w:i w:val="0"/>
        </w:rPr>
        <w:t xml:space="preserve"> AQA Baccalaureate Core</w:t>
      </w:r>
      <w:r w:rsidRPr="007C7A63">
        <w:rPr>
          <w:rFonts w:cs="Arial"/>
          <w:color w:val="000000"/>
          <w:szCs w:val="24"/>
          <w:lang w:val="en"/>
        </w:rPr>
        <w:t xml:space="preserve">. </w:t>
      </w:r>
    </w:p>
    <w:p w14:paraId="609B69C7" w14:textId="77777777" w:rsidR="007C1F93" w:rsidRDefault="007C1F93" w:rsidP="00110E62">
      <w:pPr>
        <w:pStyle w:val="ListParagraph"/>
        <w:ind w:left="851" w:hanging="851"/>
        <w:rPr>
          <w:rFonts w:cs="Arial"/>
          <w:color w:val="000000"/>
          <w:szCs w:val="24"/>
          <w:lang w:val="en"/>
        </w:rPr>
      </w:pPr>
    </w:p>
    <w:p w14:paraId="0B072887" w14:textId="4B63A1AB" w:rsidR="007C1F93" w:rsidRDefault="007C1F93" w:rsidP="00B942C0">
      <w:pPr>
        <w:numPr>
          <w:ilvl w:val="0"/>
          <w:numId w:val="17"/>
        </w:numPr>
        <w:ind w:left="851" w:hanging="851"/>
        <w:rPr>
          <w:szCs w:val="24"/>
        </w:rPr>
      </w:pPr>
      <w:r w:rsidRPr="008C347A">
        <w:rPr>
          <w:szCs w:val="24"/>
        </w:rPr>
        <w:t>In her review of Vocational Education, Professor Alison Wolf recommends that the pr</w:t>
      </w:r>
      <w:r w:rsidRPr="008C347A">
        <w:rPr>
          <w:rFonts w:eastAsia="Times New Roman" w:cs="Times New Roman"/>
          <w:szCs w:val="24"/>
        </w:rPr>
        <w:t>escription of qualification content introduced at 14-16 would not be appropriate post-16 because of the degree of specialisation in the qualifications that students take as they move nearer to the labour market</w:t>
      </w:r>
      <w:r w:rsidRPr="002A7997">
        <w:rPr>
          <w:rStyle w:val="FootnoteReference"/>
          <w:szCs w:val="24"/>
        </w:rPr>
        <w:footnoteReference w:id="14"/>
      </w:r>
      <w:r w:rsidR="00387C96" w:rsidRPr="008C347A">
        <w:rPr>
          <w:szCs w:val="24"/>
        </w:rPr>
        <w:t>.</w:t>
      </w:r>
      <w:r w:rsidR="008C347A">
        <w:rPr>
          <w:szCs w:val="24"/>
        </w:rPr>
        <w:t xml:space="preserve"> </w:t>
      </w:r>
      <w:r w:rsidRPr="007A77B2">
        <w:rPr>
          <w:szCs w:val="24"/>
        </w:rPr>
        <w:t>Th</w:t>
      </w:r>
      <w:r w:rsidRPr="00B942C0">
        <w:rPr>
          <w:szCs w:val="24"/>
        </w:rPr>
        <w:t xml:space="preserve">e characteristics proposed for the two vocational qualification categories take this into account. They reflect the differing nature of </w:t>
      </w:r>
      <w:r w:rsidRPr="007A77B2">
        <w:rPr>
          <w:szCs w:val="24"/>
        </w:rPr>
        <w:t xml:space="preserve">specialist </w:t>
      </w:r>
      <w:r w:rsidR="00ED19F2">
        <w:rPr>
          <w:szCs w:val="24"/>
        </w:rPr>
        <w:t xml:space="preserve">occupational </w:t>
      </w:r>
      <w:r w:rsidRPr="007A77B2">
        <w:rPr>
          <w:szCs w:val="24"/>
        </w:rPr>
        <w:t xml:space="preserve">qualifications </w:t>
      </w:r>
      <w:r>
        <w:rPr>
          <w:szCs w:val="24"/>
        </w:rPr>
        <w:t>as distinct to</w:t>
      </w:r>
      <w:r w:rsidRPr="007A77B2">
        <w:rPr>
          <w:szCs w:val="24"/>
        </w:rPr>
        <w:t xml:space="preserve"> </w:t>
      </w:r>
      <w:r>
        <w:rPr>
          <w:szCs w:val="24"/>
        </w:rPr>
        <w:t xml:space="preserve">those which are applied but </w:t>
      </w:r>
      <w:r w:rsidRPr="007A77B2">
        <w:rPr>
          <w:szCs w:val="24"/>
        </w:rPr>
        <w:t>more general.</w:t>
      </w:r>
      <w:r w:rsidRPr="00B942C0">
        <w:rPr>
          <w:szCs w:val="24"/>
        </w:rPr>
        <w:t xml:space="preserve"> This will not restrict the number or range of qualifications that can be offered but it will mean that students and employers can be confident that any qualifications reported in the performance tables has met one of these standards.  </w:t>
      </w:r>
    </w:p>
    <w:p w14:paraId="2CAA78C5" w14:textId="77777777" w:rsidR="007C1F93" w:rsidRDefault="007C1F93" w:rsidP="00B942C0">
      <w:pPr>
        <w:ind w:left="851" w:hanging="851"/>
        <w:rPr>
          <w:szCs w:val="24"/>
        </w:rPr>
      </w:pPr>
    </w:p>
    <w:p w14:paraId="22E7DA1C" w14:textId="4F8E3727" w:rsidR="007C1F93" w:rsidRDefault="007C1F93" w:rsidP="00B942C0">
      <w:pPr>
        <w:numPr>
          <w:ilvl w:val="0"/>
          <w:numId w:val="17"/>
        </w:numPr>
        <w:ind w:left="851" w:hanging="851"/>
        <w:rPr>
          <w:szCs w:val="24"/>
        </w:rPr>
      </w:pPr>
      <w:r>
        <w:rPr>
          <w:szCs w:val="24"/>
        </w:rPr>
        <w:t xml:space="preserve">For Applied </w:t>
      </w:r>
      <w:r w:rsidR="004E7AA0">
        <w:rPr>
          <w:szCs w:val="24"/>
        </w:rPr>
        <w:t>G</w:t>
      </w:r>
      <w:r>
        <w:rPr>
          <w:szCs w:val="24"/>
        </w:rPr>
        <w:t xml:space="preserve">eneral </w:t>
      </w:r>
      <w:r w:rsidR="004E7AA0">
        <w:rPr>
          <w:szCs w:val="24"/>
        </w:rPr>
        <w:t>Q</w:t>
      </w:r>
      <w:r>
        <w:rPr>
          <w:szCs w:val="24"/>
        </w:rPr>
        <w:t>ualifications w</w:t>
      </w:r>
      <w:r w:rsidRPr="00A523D0">
        <w:rPr>
          <w:szCs w:val="24"/>
        </w:rPr>
        <w:t xml:space="preserve">e propose seven characteristics – size, grading, external assessment, synoptic assessment, appropriate content, progression and proven track record. </w:t>
      </w:r>
      <w:r>
        <w:rPr>
          <w:szCs w:val="24"/>
        </w:rPr>
        <w:t>These broadly correspond to standards adopted for other gen</w:t>
      </w:r>
      <w:r w:rsidR="001E067B">
        <w:rPr>
          <w:szCs w:val="24"/>
        </w:rPr>
        <w:t>eral qualifications, including A</w:t>
      </w:r>
      <w:r>
        <w:rPr>
          <w:szCs w:val="24"/>
        </w:rPr>
        <w:t xml:space="preserve"> levels, whilst taking into account the different kinds of study and assessment approaches these qualifications often employ.</w:t>
      </w:r>
    </w:p>
    <w:p w14:paraId="33A73505" w14:textId="77777777" w:rsidR="007C1F93" w:rsidRDefault="007C1F93" w:rsidP="00110E62">
      <w:pPr>
        <w:pStyle w:val="ListParagraph"/>
        <w:ind w:left="851" w:hanging="851"/>
        <w:rPr>
          <w:rFonts w:eastAsia="Calibri" w:cs="Arial"/>
          <w:szCs w:val="24"/>
        </w:rPr>
      </w:pPr>
    </w:p>
    <w:p w14:paraId="30A9DA48" w14:textId="1B611AA2" w:rsidR="007C1F93" w:rsidRPr="00A523D0" w:rsidRDefault="007C1F93" w:rsidP="00B942C0">
      <w:pPr>
        <w:numPr>
          <w:ilvl w:val="0"/>
          <w:numId w:val="17"/>
        </w:numPr>
        <w:ind w:left="851" w:hanging="851"/>
        <w:rPr>
          <w:szCs w:val="24"/>
        </w:rPr>
      </w:pPr>
      <w:r w:rsidRPr="00A523D0">
        <w:rPr>
          <w:szCs w:val="24"/>
        </w:rPr>
        <w:t xml:space="preserve">Occupational </w:t>
      </w:r>
      <w:r w:rsidR="004E7AA0">
        <w:rPr>
          <w:szCs w:val="24"/>
        </w:rPr>
        <w:t>Q</w:t>
      </w:r>
      <w:r w:rsidRPr="00A523D0">
        <w:rPr>
          <w:szCs w:val="24"/>
        </w:rPr>
        <w:t xml:space="preserve">ualifications would need to meet four characteristics – size, employer endorsement, assessment and progression. </w:t>
      </w:r>
      <w:r>
        <w:rPr>
          <w:szCs w:val="24"/>
        </w:rPr>
        <w:t xml:space="preserve"> These are more flexible and focus more on the precise needs of the occupation involved.</w:t>
      </w:r>
    </w:p>
    <w:p w14:paraId="7F27D159" w14:textId="77777777" w:rsidR="007C1F93" w:rsidRDefault="007C1F93" w:rsidP="007C1F93">
      <w:pPr>
        <w:pStyle w:val="ListParagraph"/>
        <w:widowControl/>
        <w:overflowPunct/>
        <w:autoSpaceDE/>
        <w:autoSpaceDN/>
        <w:adjustRightInd/>
        <w:ind w:left="0"/>
        <w:textAlignment w:val="auto"/>
        <w:rPr>
          <w:rFonts w:eastAsia="Calibri" w:cs="Arial"/>
          <w:szCs w:val="24"/>
        </w:rPr>
      </w:pPr>
    </w:p>
    <w:p w14:paraId="035F7402" w14:textId="77777777" w:rsidR="007C1F93" w:rsidRDefault="007C1F93" w:rsidP="007C1F93">
      <w:pPr>
        <w:pStyle w:val="ListParagraph"/>
        <w:widowControl/>
        <w:overflowPunct/>
        <w:autoSpaceDE/>
        <w:autoSpaceDN/>
        <w:adjustRightInd/>
        <w:ind w:left="0"/>
        <w:textAlignment w:val="auto"/>
        <w:rPr>
          <w:rFonts w:eastAsia="Calibri" w:cs="Arial"/>
          <w:szCs w:val="24"/>
        </w:rPr>
      </w:pPr>
    </w:p>
    <w:p w14:paraId="070D7472" w14:textId="52355D59" w:rsidR="007C1F93" w:rsidRPr="009A6E39" w:rsidRDefault="007C1F93" w:rsidP="007C1F93">
      <w:pPr>
        <w:pStyle w:val="ListParagraph"/>
        <w:widowControl/>
        <w:overflowPunct/>
        <w:autoSpaceDE/>
        <w:autoSpaceDN/>
        <w:adjustRightInd/>
        <w:ind w:left="0"/>
        <w:textAlignment w:val="auto"/>
        <w:rPr>
          <w:rFonts w:eastAsia="Calibri" w:cs="Arial"/>
          <w:b/>
          <w:szCs w:val="24"/>
        </w:rPr>
      </w:pPr>
      <w:r>
        <w:rPr>
          <w:rFonts w:eastAsia="Calibri" w:cs="Arial"/>
          <w:b/>
          <w:szCs w:val="24"/>
        </w:rPr>
        <w:br w:type="page"/>
      </w:r>
      <w:r w:rsidRPr="009A6E39">
        <w:rPr>
          <w:rFonts w:eastAsia="Calibri" w:cs="Arial"/>
          <w:b/>
          <w:szCs w:val="24"/>
        </w:rPr>
        <w:lastRenderedPageBreak/>
        <w:t>Proposed characteristics for Applied General Qualifications</w:t>
      </w:r>
    </w:p>
    <w:p w14:paraId="2A38F4FC" w14:textId="77777777" w:rsidR="007C1F93" w:rsidRDefault="007C1F93" w:rsidP="007C1F93">
      <w:pPr>
        <w:pStyle w:val="ListParagraph"/>
        <w:widowControl/>
        <w:overflowPunct/>
        <w:autoSpaceDE/>
        <w:autoSpaceDN/>
        <w:adjustRightInd/>
        <w:ind w:left="0"/>
        <w:textAlignment w:val="auto"/>
        <w:rPr>
          <w:rFonts w:eastAsia="Calibri" w:cs="Arial"/>
          <w:szCs w:val="24"/>
        </w:rPr>
      </w:pPr>
    </w:p>
    <w:p w14:paraId="661B2A88" w14:textId="77777777" w:rsidR="007C1F93" w:rsidRPr="00F87B0B" w:rsidRDefault="007C1F93" w:rsidP="00B942C0">
      <w:pPr>
        <w:pStyle w:val="ListParagraph"/>
        <w:widowControl/>
        <w:numPr>
          <w:ilvl w:val="0"/>
          <w:numId w:val="22"/>
        </w:numPr>
        <w:overflowPunct/>
        <w:autoSpaceDE/>
        <w:autoSpaceDN/>
        <w:adjustRightInd/>
        <w:ind w:left="709" w:hanging="709"/>
        <w:textAlignment w:val="auto"/>
        <w:rPr>
          <w:rFonts w:cs="Arial"/>
          <w:b/>
          <w:szCs w:val="24"/>
        </w:rPr>
      </w:pPr>
      <w:r>
        <w:rPr>
          <w:rFonts w:cs="Arial"/>
          <w:b/>
          <w:szCs w:val="24"/>
        </w:rPr>
        <w:t>S</w:t>
      </w:r>
      <w:r w:rsidRPr="00F87B0B">
        <w:rPr>
          <w:rFonts w:cs="Arial"/>
          <w:b/>
          <w:szCs w:val="24"/>
        </w:rPr>
        <w:t xml:space="preserve">ize </w:t>
      </w:r>
    </w:p>
    <w:p w14:paraId="3B3B8C15" w14:textId="77777777" w:rsidR="007C1F93" w:rsidRPr="001279F3" w:rsidRDefault="007C1F93" w:rsidP="007C1F93">
      <w:pPr>
        <w:pStyle w:val="ListParagraph"/>
        <w:widowControl/>
        <w:overflowPunct/>
        <w:autoSpaceDE/>
        <w:autoSpaceDN/>
        <w:adjustRightInd/>
        <w:ind w:left="0"/>
        <w:textAlignment w:val="auto"/>
        <w:rPr>
          <w:rFonts w:eastAsia="Calibri" w:cs="Arial"/>
          <w:szCs w:val="24"/>
        </w:rPr>
      </w:pPr>
    </w:p>
    <w:p w14:paraId="7679D1F3" w14:textId="483DF9E2" w:rsidR="007C1F93" w:rsidRDefault="007C1F93" w:rsidP="00B942C0">
      <w:pPr>
        <w:pStyle w:val="ListParagraph"/>
        <w:widowControl/>
        <w:numPr>
          <w:ilvl w:val="0"/>
          <w:numId w:val="17"/>
        </w:numPr>
        <w:overflowPunct/>
        <w:autoSpaceDE/>
        <w:autoSpaceDN/>
        <w:adjustRightInd/>
        <w:ind w:left="709" w:hanging="709"/>
        <w:textAlignment w:val="auto"/>
        <w:rPr>
          <w:rFonts w:cs="Arial"/>
          <w:szCs w:val="24"/>
        </w:rPr>
      </w:pPr>
      <w:r w:rsidRPr="007B2FD2">
        <w:rPr>
          <w:rFonts w:cs="Arial"/>
          <w:szCs w:val="24"/>
        </w:rPr>
        <w:t xml:space="preserve">We want to avoid young people amassing small qualifications that are not valued by colleges, universities and employers and do not provide a sound basis to enable them to progress to a good job or further study. Therefore, in </w:t>
      </w:r>
      <w:r w:rsidRPr="00CE744E">
        <w:rPr>
          <w:rFonts w:cs="Arial"/>
          <w:szCs w:val="24"/>
        </w:rPr>
        <w:t xml:space="preserve">future, we propose that </w:t>
      </w:r>
      <w:r w:rsidR="00387C96">
        <w:rPr>
          <w:rFonts w:cs="Arial"/>
          <w:szCs w:val="24"/>
        </w:rPr>
        <w:t>Applied General Qualifications</w:t>
      </w:r>
      <w:r w:rsidRPr="00370550">
        <w:rPr>
          <w:rFonts w:cs="Arial"/>
          <w:szCs w:val="24"/>
        </w:rPr>
        <w:t xml:space="preserve"> equal</w:t>
      </w:r>
      <w:r w:rsidRPr="00B942C0">
        <w:rPr>
          <w:rFonts w:cs="Arial"/>
          <w:szCs w:val="24"/>
        </w:rPr>
        <w:t xml:space="preserve"> </w:t>
      </w:r>
      <w:r w:rsidRPr="002570CB">
        <w:rPr>
          <w:rFonts w:cs="Arial"/>
          <w:szCs w:val="24"/>
        </w:rPr>
        <w:t xml:space="preserve">to or greater than </w:t>
      </w:r>
      <w:r w:rsidRPr="000730AD">
        <w:rPr>
          <w:rFonts w:cs="Arial"/>
          <w:szCs w:val="24"/>
        </w:rPr>
        <w:t>15</w:t>
      </w:r>
      <w:r w:rsidRPr="001E32E5">
        <w:rPr>
          <w:rFonts w:cs="Arial"/>
          <w:szCs w:val="24"/>
        </w:rPr>
        <w:t xml:space="preserve">0 Guided Learning </w:t>
      </w:r>
      <w:r w:rsidRPr="00472432">
        <w:rPr>
          <w:rFonts w:cs="Arial"/>
          <w:szCs w:val="24"/>
        </w:rPr>
        <w:t>Hours</w:t>
      </w:r>
      <w:r w:rsidR="00CC76C1">
        <w:rPr>
          <w:rFonts w:cs="Arial"/>
          <w:szCs w:val="24"/>
        </w:rPr>
        <w:t xml:space="preserve"> </w:t>
      </w:r>
      <w:r w:rsidRPr="00472432">
        <w:rPr>
          <w:rFonts w:cs="Arial"/>
          <w:szCs w:val="24"/>
        </w:rPr>
        <w:t>be counted in Tables</w:t>
      </w:r>
      <w:r w:rsidR="00EE7A5E">
        <w:rPr>
          <w:rFonts w:cs="Arial"/>
          <w:szCs w:val="24"/>
        </w:rPr>
        <w:t xml:space="preserve"> and </w:t>
      </w:r>
      <w:r w:rsidRPr="00E03858">
        <w:rPr>
          <w:rFonts w:cs="Arial"/>
          <w:szCs w:val="24"/>
        </w:rPr>
        <w:t xml:space="preserve">count as </w:t>
      </w:r>
      <w:r>
        <w:rPr>
          <w:rFonts w:cs="Arial"/>
          <w:szCs w:val="24"/>
        </w:rPr>
        <w:t xml:space="preserve">a </w:t>
      </w:r>
      <w:r w:rsidRPr="00E03858">
        <w:rPr>
          <w:rFonts w:cs="Arial"/>
          <w:szCs w:val="24"/>
        </w:rPr>
        <w:t xml:space="preserve">‘substantial qualification’ </w:t>
      </w:r>
      <w:r>
        <w:rPr>
          <w:rFonts w:cs="Arial"/>
          <w:szCs w:val="24"/>
        </w:rPr>
        <w:t>within a 16-19</w:t>
      </w:r>
      <w:r w:rsidRPr="007B2FD2">
        <w:rPr>
          <w:rFonts w:cs="Arial"/>
          <w:szCs w:val="24"/>
        </w:rPr>
        <w:t xml:space="preserve"> Study Programme</w:t>
      </w:r>
      <w:r w:rsidR="00EE7A5E">
        <w:rPr>
          <w:rFonts w:cs="Arial"/>
          <w:szCs w:val="24"/>
        </w:rPr>
        <w:t xml:space="preserve"> </w:t>
      </w:r>
      <w:r w:rsidR="00EE7A5E">
        <w:t>(students will be expected to spend at least 300 hours on one or more substantial qualifications)</w:t>
      </w:r>
      <w:r>
        <w:rPr>
          <w:rFonts w:cs="Arial"/>
          <w:szCs w:val="24"/>
        </w:rPr>
        <w:t>.</w:t>
      </w:r>
      <w:r w:rsidRPr="00DE3AF7" w:rsidDel="007B2FD2">
        <w:rPr>
          <w:rFonts w:cs="Arial"/>
          <w:szCs w:val="24"/>
        </w:rPr>
        <w:t xml:space="preserve"> </w:t>
      </w:r>
    </w:p>
    <w:p w14:paraId="3A784CB1" w14:textId="77777777" w:rsidR="007C1F93" w:rsidRPr="00E5527E" w:rsidRDefault="007C1F93" w:rsidP="007C1F93">
      <w:pPr>
        <w:pStyle w:val="ListParagraph"/>
        <w:widowControl/>
        <w:overflowPunct/>
        <w:autoSpaceDE/>
        <w:autoSpaceDN/>
        <w:adjustRightInd/>
        <w:ind w:left="1276"/>
        <w:textAlignment w:val="auto"/>
        <w:rPr>
          <w:rFonts w:eastAsia="Calibri" w:cs="Arial"/>
          <w:szCs w:val="24"/>
        </w:rPr>
      </w:pPr>
    </w:p>
    <w:p w14:paraId="3422EE0E" w14:textId="77777777" w:rsidR="007C1F93" w:rsidRPr="00B942C0" w:rsidRDefault="007C1F93" w:rsidP="00B942C0">
      <w:pPr>
        <w:pStyle w:val="ListParagraph"/>
        <w:widowControl/>
        <w:numPr>
          <w:ilvl w:val="0"/>
          <w:numId w:val="22"/>
        </w:numPr>
        <w:overflowPunct/>
        <w:autoSpaceDE/>
        <w:autoSpaceDN/>
        <w:adjustRightInd/>
        <w:ind w:left="709" w:hanging="709"/>
        <w:textAlignment w:val="auto"/>
        <w:rPr>
          <w:rFonts w:cs="Arial"/>
          <w:b/>
          <w:szCs w:val="24"/>
        </w:rPr>
      </w:pPr>
      <w:r w:rsidRPr="00B942C0">
        <w:rPr>
          <w:rFonts w:cs="Arial"/>
          <w:b/>
          <w:szCs w:val="24"/>
        </w:rPr>
        <w:t>Grading</w:t>
      </w:r>
    </w:p>
    <w:p w14:paraId="3B135B10" w14:textId="77777777" w:rsidR="007C1F93" w:rsidRDefault="007C1F93" w:rsidP="007C1F93">
      <w:pPr>
        <w:pStyle w:val="ListParagraph"/>
        <w:widowControl/>
        <w:overflowPunct/>
        <w:autoSpaceDE/>
        <w:autoSpaceDN/>
        <w:adjustRightInd/>
        <w:ind w:left="0"/>
        <w:textAlignment w:val="auto"/>
        <w:rPr>
          <w:rFonts w:eastAsia="Calibri" w:cs="Arial"/>
          <w:b/>
          <w:szCs w:val="24"/>
        </w:rPr>
      </w:pPr>
    </w:p>
    <w:p w14:paraId="709955B1" w14:textId="2A1333C3" w:rsidR="007C1F93" w:rsidRPr="00012FDE" w:rsidRDefault="007C1F93" w:rsidP="00B942C0">
      <w:pPr>
        <w:pStyle w:val="ListParagraph"/>
        <w:widowControl/>
        <w:numPr>
          <w:ilvl w:val="0"/>
          <w:numId w:val="17"/>
        </w:numPr>
        <w:overflowPunct/>
        <w:autoSpaceDE/>
        <w:autoSpaceDN/>
        <w:adjustRightInd/>
        <w:ind w:left="709" w:hanging="709"/>
        <w:textAlignment w:val="auto"/>
        <w:rPr>
          <w:rFonts w:eastAsia="Calibri" w:cs="Arial"/>
          <w:szCs w:val="24"/>
        </w:rPr>
      </w:pPr>
      <w:r>
        <w:rPr>
          <w:rFonts w:cs="Arial"/>
          <w:szCs w:val="24"/>
        </w:rPr>
        <w:t xml:space="preserve">Many vocational qualifications traditionally use grading. This is important for student motivation and distinguishing between different levels of student achievement. So we propose that in </w:t>
      </w:r>
      <w:r w:rsidR="00ED19F2">
        <w:rPr>
          <w:rFonts w:cs="Arial"/>
          <w:szCs w:val="24"/>
        </w:rPr>
        <w:t>future</w:t>
      </w:r>
      <w:r>
        <w:rPr>
          <w:rFonts w:cs="Arial"/>
          <w:szCs w:val="24"/>
        </w:rPr>
        <w:t xml:space="preserve"> performance tables only include those </w:t>
      </w:r>
      <w:r w:rsidR="00387C96">
        <w:rPr>
          <w:rFonts w:cs="Arial"/>
          <w:szCs w:val="24"/>
        </w:rPr>
        <w:t>Applied General Qualifications</w:t>
      </w:r>
      <w:r>
        <w:rPr>
          <w:rFonts w:cs="Arial"/>
          <w:szCs w:val="24"/>
        </w:rPr>
        <w:t xml:space="preserve"> that are graded – as opposed to pass/fail. </w:t>
      </w:r>
      <w:r w:rsidR="00387C96">
        <w:rPr>
          <w:rFonts w:cs="Arial"/>
          <w:szCs w:val="24"/>
        </w:rPr>
        <w:t>Applied General Qualifications</w:t>
      </w:r>
      <w:r>
        <w:rPr>
          <w:rFonts w:cs="Arial"/>
          <w:szCs w:val="24"/>
        </w:rPr>
        <w:t xml:space="preserve"> may have a pass, merit, distinction structure or a more detailed scale. This reflects the grading approach adopted by many existing Level 3 qualifications.</w:t>
      </w:r>
    </w:p>
    <w:p w14:paraId="4579622F" w14:textId="77777777" w:rsidR="007C1F93" w:rsidRPr="007167C7" w:rsidRDefault="007C1F93" w:rsidP="007C1F93">
      <w:pPr>
        <w:pStyle w:val="ListParagraph"/>
        <w:widowControl/>
        <w:overflowPunct/>
        <w:autoSpaceDE/>
        <w:autoSpaceDN/>
        <w:adjustRightInd/>
        <w:ind w:left="0"/>
        <w:textAlignment w:val="auto"/>
        <w:rPr>
          <w:rFonts w:eastAsia="Calibri" w:cs="Arial"/>
          <w:b/>
          <w:szCs w:val="24"/>
        </w:rPr>
      </w:pPr>
    </w:p>
    <w:p w14:paraId="5CB87AB7" w14:textId="77777777" w:rsidR="007C1F93" w:rsidRPr="00B942C0" w:rsidRDefault="007C1F93" w:rsidP="00B942C0">
      <w:pPr>
        <w:pStyle w:val="ListParagraph"/>
        <w:widowControl/>
        <w:numPr>
          <w:ilvl w:val="0"/>
          <w:numId w:val="22"/>
        </w:numPr>
        <w:overflowPunct/>
        <w:autoSpaceDE/>
        <w:autoSpaceDN/>
        <w:adjustRightInd/>
        <w:ind w:left="709" w:hanging="709"/>
        <w:textAlignment w:val="auto"/>
        <w:rPr>
          <w:rFonts w:cs="Arial"/>
          <w:b/>
          <w:szCs w:val="24"/>
        </w:rPr>
      </w:pPr>
      <w:r>
        <w:rPr>
          <w:rFonts w:cs="Arial"/>
          <w:b/>
          <w:szCs w:val="24"/>
        </w:rPr>
        <w:t>External as</w:t>
      </w:r>
      <w:r w:rsidRPr="00012FDE">
        <w:rPr>
          <w:rFonts w:cs="Arial"/>
          <w:b/>
          <w:szCs w:val="24"/>
        </w:rPr>
        <w:t>sessment</w:t>
      </w:r>
      <w:r>
        <w:rPr>
          <w:rFonts w:cs="Arial"/>
          <w:b/>
          <w:szCs w:val="24"/>
        </w:rPr>
        <w:t xml:space="preserve"> </w:t>
      </w:r>
    </w:p>
    <w:p w14:paraId="2C48AFEC" w14:textId="77777777" w:rsidR="007C1F93" w:rsidRDefault="007C1F93" w:rsidP="007C1F93">
      <w:pPr>
        <w:pStyle w:val="ListParagraph"/>
        <w:widowControl/>
        <w:overflowPunct/>
        <w:autoSpaceDE/>
        <w:autoSpaceDN/>
        <w:adjustRightInd/>
        <w:ind w:left="0"/>
        <w:textAlignment w:val="auto"/>
        <w:rPr>
          <w:rFonts w:eastAsia="Calibri" w:cs="Arial"/>
          <w:szCs w:val="24"/>
        </w:rPr>
      </w:pPr>
    </w:p>
    <w:p w14:paraId="7B91CAB8" w14:textId="521AAA35" w:rsidR="007C1F93" w:rsidRDefault="007C1F93" w:rsidP="00B942C0">
      <w:pPr>
        <w:pStyle w:val="ListParagraph"/>
        <w:widowControl/>
        <w:numPr>
          <w:ilvl w:val="0"/>
          <w:numId w:val="17"/>
        </w:numPr>
        <w:overflowPunct/>
        <w:autoSpaceDE/>
        <w:autoSpaceDN/>
        <w:adjustRightInd/>
        <w:ind w:left="709" w:hanging="709"/>
        <w:textAlignment w:val="auto"/>
        <w:rPr>
          <w:rFonts w:eastAsia="Calibri" w:cs="Arial"/>
          <w:szCs w:val="24"/>
        </w:rPr>
      </w:pPr>
      <w:r>
        <w:rPr>
          <w:rFonts w:eastAsia="Calibri" w:cs="Arial"/>
          <w:szCs w:val="24"/>
        </w:rPr>
        <w:t>To demonstrate rigour, we propose</w:t>
      </w:r>
      <w:r w:rsidR="00387C96">
        <w:rPr>
          <w:rFonts w:eastAsia="Calibri" w:cs="Arial"/>
          <w:szCs w:val="24"/>
        </w:rPr>
        <w:t xml:space="preserve"> that</w:t>
      </w:r>
      <w:r>
        <w:rPr>
          <w:rFonts w:eastAsia="Calibri" w:cs="Arial"/>
          <w:szCs w:val="24"/>
        </w:rPr>
        <w:t xml:space="preserve"> qualifications that count towards performance tables should have a significant amount of content that is subject to external assessment. Ofqual’s definition of external assessment is:</w:t>
      </w:r>
    </w:p>
    <w:p w14:paraId="231AFAD1" w14:textId="77777777" w:rsidR="007C1F93" w:rsidRDefault="007C1F93" w:rsidP="007C1F93">
      <w:pPr>
        <w:pStyle w:val="ListParagraph"/>
        <w:rPr>
          <w:rFonts w:eastAsia="Calibri" w:cs="Arial"/>
          <w:szCs w:val="24"/>
        </w:rPr>
      </w:pPr>
    </w:p>
    <w:p w14:paraId="5D14F512" w14:textId="77777777" w:rsidR="007C1F93" w:rsidRPr="00084D03" w:rsidRDefault="007C1F93" w:rsidP="00B942C0">
      <w:pPr>
        <w:pStyle w:val="ListParagraph"/>
        <w:widowControl/>
        <w:overflowPunct/>
        <w:autoSpaceDE/>
        <w:autoSpaceDN/>
        <w:adjustRightInd/>
        <w:ind w:left="1134"/>
        <w:textAlignment w:val="auto"/>
        <w:rPr>
          <w:rFonts w:eastAsia="Calibri" w:cs="Arial"/>
          <w:i/>
          <w:szCs w:val="24"/>
        </w:rPr>
      </w:pPr>
      <w:r w:rsidRPr="00126B5A">
        <w:rPr>
          <w:rFonts w:eastAsia="Calibri" w:cs="Arial"/>
          <w:i/>
          <w:szCs w:val="24"/>
        </w:rPr>
        <w:t>“</w:t>
      </w:r>
      <w:r>
        <w:rPr>
          <w:rFonts w:eastAsia="Calibri" w:cs="Arial"/>
          <w:i/>
          <w:szCs w:val="24"/>
        </w:rPr>
        <w:t>A form of independent assessment in which question papers, assignments and tasks are set by the awarding organisation, taken under specified conditions (</w:t>
      </w:r>
      <w:r w:rsidRPr="00084D03">
        <w:rPr>
          <w:rFonts w:eastAsia="Calibri" w:cs="Arial"/>
          <w:i/>
          <w:szCs w:val="24"/>
        </w:rPr>
        <w:t xml:space="preserve">including details of supervision and duration) and marked by the </w:t>
      </w:r>
      <w:r>
        <w:rPr>
          <w:rFonts w:eastAsia="Calibri" w:cs="Arial"/>
          <w:i/>
          <w:szCs w:val="24"/>
        </w:rPr>
        <w:t>a</w:t>
      </w:r>
      <w:r w:rsidRPr="00084D03">
        <w:rPr>
          <w:rFonts w:eastAsia="Calibri" w:cs="Arial"/>
          <w:i/>
          <w:szCs w:val="24"/>
        </w:rPr>
        <w:t xml:space="preserve">warding </w:t>
      </w:r>
      <w:r>
        <w:rPr>
          <w:rFonts w:eastAsia="Calibri" w:cs="Arial"/>
          <w:i/>
          <w:szCs w:val="24"/>
        </w:rPr>
        <w:t>o</w:t>
      </w:r>
      <w:r w:rsidRPr="00084D03">
        <w:rPr>
          <w:rFonts w:eastAsia="Calibri" w:cs="Arial"/>
          <w:i/>
          <w:szCs w:val="24"/>
        </w:rPr>
        <w:t>rganisation.”</w:t>
      </w:r>
      <w:r>
        <w:rPr>
          <w:rStyle w:val="FootnoteReference"/>
          <w:rFonts w:eastAsia="Calibri" w:cs="Arial"/>
          <w:i/>
          <w:szCs w:val="24"/>
        </w:rPr>
        <w:footnoteReference w:id="15"/>
      </w:r>
    </w:p>
    <w:p w14:paraId="080AA8E1" w14:textId="77777777" w:rsidR="007C1F93" w:rsidRPr="00084D03" w:rsidRDefault="007C1F93" w:rsidP="007C1F93">
      <w:pPr>
        <w:pStyle w:val="ListParagraph"/>
        <w:widowControl/>
        <w:overflowPunct/>
        <w:autoSpaceDE/>
        <w:autoSpaceDN/>
        <w:adjustRightInd/>
        <w:ind w:left="1440"/>
        <w:textAlignment w:val="auto"/>
        <w:rPr>
          <w:rFonts w:eastAsia="Calibri" w:cs="Arial"/>
          <w:i/>
          <w:szCs w:val="24"/>
        </w:rPr>
      </w:pPr>
    </w:p>
    <w:p w14:paraId="1BFD8473" w14:textId="77777777" w:rsidR="007C1F93" w:rsidRPr="00084D03" w:rsidRDefault="007C1F93" w:rsidP="009E03F8">
      <w:pPr>
        <w:pStyle w:val="ListParagraph"/>
        <w:widowControl/>
        <w:numPr>
          <w:ilvl w:val="0"/>
          <w:numId w:val="17"/>
        </w:numPr>
        <w:overflowPunct/>
        <w:autoSpaceDE/>
        <w:autoSpaceDN/>
        <w:adjustRightInd/>
        <w:ind w:left="709" w:hanging="709"/>
        <w:textAlignment w:val="auto"/>
        <w:rPr>
          <w:rFonts w:eastAsia="Calibri" w:cs="Arial"/>
          <w:szCs w:val="24"/>
        </w:rPr>
      </w:pPr>
      <w:r w:rsidRPr="00084D03">
        <w:rPr>
          <w:rFonts w:eastAsia="Calibri" w:cs="Arial"/>
          <w:szCs w:val="24"/>
        </w:rPr>
        <w:t>The nature of vocational study means that project and coursework play a greater role than examinations</w:t>
      </w:r>
      <w:r>
        <w:rPr>
          <w:rFonts w:eastAsia="Calibri" w:cs="Arial"/>
          <w:szCs w:val="24"/>
        </w:rPr>
        <w:t xml:space="preserve"> and the balance between the two will not be specified</w:t>
      </w:r>
      <w:r w:rsidRPr="00084D03">
        <w:rPr>
          <w:rFonts w:eastAsia="Calibri" w:cs="Arial"/>
          <w:szCs w:val="24"/>
        </w:rPr>
        <w:t xml:space="preserve">. By not allowing repeat submission of coursework, we will ensure that </w:t>
      </w:r>
      <w:r>
        <w:rPr>
          <w:rFonts w:eastAsia="Calibri" w:cs="Arial"/>
          <w:szCs w:val="24"/>
        </w:rPr>
        <w:t xml:space="preserve">where </w:t>
      </w:r>
      <w:r w:rsidRPr="00084D03">
        <w:rPr>
          <w:rFonts w:eastAsia="Calibri" w:cs="Arial"/>
          <w:szCs w:val="24"/>
        </w:rPr>
        <w:t xml:space="preserve">coursework </w:t>
      </w:r>
      <w:r>
        <w:rPr>
          <w:rFonts w:eastAsia="Calibri" w:cs="Arial"/>
          <w:szCs w:val="24"/>
        </w:rPr>
        <w:t xml:space="preserve">is used for assessment it will </w:t>
      </w:r>
      <w:r w:rsidRPr="00084D03">
        <w:rPr>
          <w:rFonts w:eastAsia="Calibri" w:cs="Arial"/>
          <w:szCs w:val="24"/>
        </w:rPr>
        <w:t xml:space="preserve">provide sufficient challenge. </w:t>
      </w:r>
    </w:p>
    <w:p w14:paraId="67CEF8E8" w14:textId="77777777" w:rsidR="007C1F93" w:rsidRPr="00084D03" w:rsidRDefault="007C1F93" w:rsidP="007C1F93">
      <w:pPr>
        <w:pStyle w:val="ListParagraph"/>
        <w:ind w:left="0"/>
        <w:rPr>
          <w:rFonts w:eastAsia="Calibri" w:cs="Arial"/>
          <w:szCs w:val="24"/>
        </w:rPr>
      </w:pPr>
    </w:p>
    <w:p w14:paraId="0A2FC0EA" w14:textId="77777777" w:rsidR="007C1F93" w:rsidRPr="00B942C0" w:rsidRDefault="007C1F93" w:rsidP="00B942C0">
      <w:pPr>
        <w:pStyle w:val="ListParagraph"/>
        <w:widowControl/>
        <w:numPr>
          <w:ilvl w:val="0"/>
          <w:numId w:val="22"/>
        </w:numPr>
        <w:overflowPunct/>
        <w:autoSpaceDE/>
        <w:autoSpaceDN/>
        <w:adjustRightInd/>
        <w:ind w:left="709" w:hanging="709"/>
        <w:textAlignment w:val="auto"/>
        <w:rPr>
          <w:rFonts w:cs="Arial"/>
          <w:b/>
          <w:szCs w:val="24"/>
        </w:rPr>
      </w:pPr>
      <w:r w:rsidRPr="00B942C0">
        <w:rPr>
          <w:rFonts w:cs="Arial"/>
          <w:b/>
          <w:szCs w:val="24"/>
        </w:rPr>
        <w:t>Synoptic assessment</w:t>
      </w:r>
    </w:p>
    <w:p w14:paraId="6508824F" w14:textId="77777777" w:rsidR="007C1F93" w:rsidRDefault="007C1F93" w:rsidP="007C1F93">
      <w:pPr>
        <w:pStyle w:val="ListParagraph"/>
        <w:rPr>
          <w:rFonts w:eastAsia="Calibri" w:cs="Arial"/>
          <w:szCs w:val="24"/>
        </w:rPr>
      </w:pPr>
    </w:p>
    <w:p w14:paraId="127BFE79" w14:textId="4FA0BECB" w:rsidR="007C1F93" w:rsidRPr="00073DD8" w:rsidRDefault="006320A0" w:rsidP="00B942C0">
      <w:pPr>
        <w:pStyle w:val="ListParagraph"/>
        <w:widowControl/>
        <w:numPr>
          <w:ilvl w:val="0"/>
          <w:numId w:val="17"/>
        </w:numPr>
        <w:overflowPunct/>
        <w:autoSpaceDE/>
        <w:autoSpaceDN/>
        <w:adjustRightInd/>
        <w:ind w:left="709" w:hanging="709"/>
        <w:textAlignment w:val="auto"/>
        <w:rPr>
          <w:rFonts w:eastAsia="Calibri" w:cs="Arial"/>
          <w:szCs w:val="24"/>
        </w:rPr>
      </w:pPr>
      <w:r>
        <w:rPr>
          <w:rFonts w:eastAsia="Calibri" w:cs="Arial"/>
          <w:szCs w:val="24"/>
        </w:rPr>
        <w:t>Applied General Qualifications</w:t>
      </w:r>
      <w:r w:rsidR="007C1F93" w:rsidRPr="002A312F">
        <w:rPr>
          <w:rFonts w:eastAsia="Calibri" w:cs="Arial"/>
          <w:szCs w:val="24"/>
        </w:rPr>
        <w:t xml:space="preserve"> </w:t>
      </w:r>
      <w:r w:rsidR="007C1F93">
        <w:rPr>
          <w:rFonts w:eastAsia="Calibri" w:cs="Arial"/>
          <w:szCs w:val="24"/>
        </w:rPr>
        <w:t xml:space="preserve">should </w:t>
      </w:r>
      <w:r w:rsidR="007C1F93" w:rsidRPr="002A312F">
        <w:rPr>
          <w:rFonts w:eastAsia="Calibri" w:cs="Arial"/>
          <w:szCs w:val="24"/>
        </w:rPr>
        <w:t xml:space="preserve">demonstrate synoptic assessment </w:t>
      </w:r>
      <w:r w:rsidR="007C1F93">
        <w:rPr>
          <w:rFonts w:eastAsia="Calibri" w:cs="Arial"/>
          <w:szCs w:val="24"/>
        </w:rPr>
        <w:t>i.e.</w:t>
      </w:r>
      <w:r w:rsidR="007C1F93" w:rsidRPr="002A312F">
        <w:rPr>
          <w:rFonts w:eastAsia="Calibri" w:cs="Arial"/>
          <w:szCs w:val="24"/>
        </w:rPr>
        <w:t xml:space="preserve"> a candidate </w:t>
      </w:r>
      <w:r w:rsidR="007C1F93">
        <w:rPr>
          <w:rFonts w:eastAsia="Calibri" w:cs="Arial"/>
          <w:szCs w:val="24"/>
        </w:rPr>
        <w:t xml:space="preserve">is able to show that </w:t>
      </w:r>
      <w:r w:rsidR="007C1F93" w:rsidRPr="002A312F">
        <w:rPr>
          <w:rFonts w:eastAsia="Calibri" w:cs="Arial"/>
          <w:szCs w:val="24"/>
        </w:rPr>
        <w:t xml:space="preserve">they can </w:t>
      </w:r>
      <w:r w:rsidR="007C1F93">
        <w:rPr>
          <w:rFonts w:eastAsia="Calibri" w:cs="Arial"/>
          <w:szCs w:val="24"/>
        </w:rPr>
        <w:t xml:space="preserve">use all of the </w:t>
      </w:r>
      <w:r w:rsidR="007C1F93" w:rsidRPr="002A312F">
        <w:rPr>
          <w:rFonts w:eastAsia="Calibri" w:cs="Arial"/>
          <w:szCs w:val="24"/>
        </w:rPr>
        <w:t xml:space="preserve">skills, techniques, concepts, theories and knowledge </w:t>
      </w:r>
      <w:r w:rsidR="007C1F93">
        <w:rPr>
          <w:rFonts w:eastAsia="Calibri" w:cs="Arial"/>
          <w:szCs w:val="24"/>
        </w:rPr>
        <w:t xml:space="preserve">they have learnt about a </w:t>
      </w:r>
      <w:r w:rsidR="007C1F93" w:rsidRPr="002A312F">
        <w:rPr>
          <w:rFonts w:eastAsia="Calibri" w:cs="Arial"/>
          <w:szCs w:val="24"/>
        </w:rPr>
        <w:t>vocational area in an integrated way.</w:t>
      </w:r>
      <w:r w:rsidR="007C1F93">
        <w:rPr>
          <w:rFonts w:eastAsia="Calibri" w:cs="Arial"/>
          <w:szCs w:val="24"/>
        </w:rPr>
        <w:t xml:space="preserve"> </w:t>
      </w:r>
      <w:r w:rsidR="007C1F93" w:rsidRPr="009303A2">
        <w:rPr>
          <w:rFonts w:eastAsia="Calibri" w:cs="Arial"/>
          <w:szCs w:val="24"/>
        </w:rPr>
        <w:t xml:space="preserve">This could take the form of an </w:t>
      </w:r>
      <w:r w:rsidR="007C1F93">
        <w:rPr>
          <w:rFonts w:eastAsia="Calibri" w:cs="Arial"/>
          <w:szCs w:val="24"/>
        </w:rPr>
        <w:t xml:space="preserve">assessed </w:t>
      </w:r>
      <w:r w:rsidR="007C1F93" w:rsidRPr="009303A2">
        <w:rPr>
          <w:rFonts w:eastAsia="Calibri" w:cs="Arial"/>
          <w:szCs w:val="24"/>
        </w:rPr>
        <w:t>end-of-course project</w:t>
      </w:r>
      <w:r w:rsidR="007C1F93">
        <w:rPr>
          <w:rFonts w:eastAsia="Calibri" w:cs="Arial"/>
          <w:szCs w:val="24"/>
        </w:rPr>
        <w:t>, an examination</w:t>
      </w:r>
      <w:r w:rsidR="007C1F93" w:rsidRPr="009303A2">
        <w:rPr>
          <w:rFonts w:eastAsia="Calibri" w:cs="Arial"/>
          <w:szCs w:val="24"/>
        </w:rPr>
        <w:t xml:space="preserve"> or other activity. </w:t>
      </w:r>
      <w:r w:rsidR="00E44EC3">
        <w:rPr>
          <w:rFonts w:eastAsia="Calibri" w:cs="Arial"/>
          <w:szCs w:val="24"/>
        </w:rPr>
        <w:t xml:space="preserve">                                                         </w:t>
      </w:r>
      <w:r w:rsidR="007C1F93" w:rsidRPr="009303A2">
        <w:rPr>
          <w:rFonts w:eastAsia="Calibri" w:cs="Arial"/>
          <w:szCs w:val="24"/>
        </w:rPr>
        <w:lastRenderedPageBreak/>
        <w:t xml:space="preserve">For </w:t>
      </w:r>
      <w:r w:rsidR="007C1F93">
        <w:rPr>
          <w:rFonts w:eastAsia="Calibri" w:cs="Arial"/>
          <w:szCs w:val="24"/>
        </w:rPr>
        <w:t>existing unit-</w:t>
      </w:r>
      <w:r w:rsidR="007C1F93" w:rsidRPr="009303A2">
        <w:rPr>
          <w:rFonts w:eastAsia="Calibri" w:cs="Arial"/>
          <w:szCs w:val="24"/>
        </w:rPr>
        <w:t xml:space="preserve">based QCF qualifications, </w:t>
      </w:r>
      <w:r w:rsidR="007C1F93" w:rsidRPr="009303A2">
        <w:rPr>
          <w:rFonts w:cs="Arial"/>
          <w:szCs w:val="24"/>
        </w:rPr>
        <w:t xml:space="preserve">an additional unit </w:t>
      </w:r>
      <w:r w:rsidR="007C1F93">
        <w:rPr>
          <w:rFonts w:cs="Arial"/>
          <w:szCs w:val="24"/>
        </w:rPr>
        <w:t xml:space="preserve">may need </w:t>
      </w:r>
      <w:r w:rsidR="007C1F93" w:rsidRPr="009303A2">
        <w:rPr>
          <w:rFonts w:cs="Arial"/>
          <w:szCs w:val="24"/>
        </w:rPr>
        <w:t xml:space="preserve">to </w:t>
      </w:r>
      <w:r w:rsidR="007C1F93">
        <w:rPr>
          <w:rFonts w:cs="Arial"/>
          <w:szCs w:val="24"/>
        </w:rPr>
        <w:t xml:space="preserve">be developed to </w:t>
      </w:r>
      <w:r w:rsidR="007C1F93" w:rsidRPr="009303A2">
        <w:rPr>
          <w:rFonts w:cs="Arial"/>
          <w:szCs w:val="24"/>
        </w:rPr>
        <w:t>provide synoptic assessment.</w:t>
      </w:r>
    </w:p>
    <w:p w14:paraId="19679C25" w14:textId="77777777" w:rsidR="007C1F93" w:rsidRPr="007C1F93" w:rsidRDefault="007C1F93" w:rsidP="007C1F93">
      <w:pPr>
        <w:rPr>
          <w:szCs w:val="24"/>
        </w:rPr>
      </w:pPr>
    </w:p>
    <w:p w14:paraId="36DDF63B" w14:textId="77777777" w:rsidR="007C1F93" w:rsidRPr="00110E62" w:rsidRDefault="007C1F93" w:rsidP="00B942C0">
      <w:pPr>
        <w:pStyle w:val="ListParagraph"/>
        <w:widowControl/>
        <w:numPr>
          <w:ilvl w:val="0"/>
          <w:numId w:val="22"/>
        </w:numPr>
        <w:overflowPunct/>
        <w:autoSpaceDE/>
        <w:autoSpaceDN/>
        <w:adjustRightInd/>
        <w:ind w:left="709" w:hanging="709"/>
        <w:textAlignment w:val="auto"/>
        <w:rPr>
          <w:rFonts w:cs="Arial"/>
          <w:b/>
          <w:szCs w:val="24"/>
        </w:rPr>
      </w:pPr>
      <w:r w:rsidRPr="00110E62">
        <w:rPr>
          <w:rFonts w:cs="Arial"/>
          <w:b/>
          <w:szCs w:val="24"/>
        </w:rPr>
        <w:t>Appropriate content</w:t>
      </w:r>
    </w:p>
    <w:p w14:paraId="7C3C1783" w14:textId="77777777" w:rsidR="007C1F93" w:rsidRPr="00073DD8" w:rsidRDefault="007C1F93" w:rsidP="007C1F93">
      <w:pPr>
        <w:pStyle w:val="ListParagraph"/>
        <w:widowControl/>
        <w:overflowPunct/>
        <w:autoSpaceDE/>
        <w:autoSpaceDN/>
        <w:adjustRightInd/>
        <w:ind w:left="0"/>
        <w:contextualSpacing w:val="0"/>
        <w:textAlignment w:val="auto"/>
        <w:rPr>
          <w:rFonts w:eastAsia="Calibri" w:cs="Arial"/>
          <w:szCs w:val="24"/>
        </w:rPr>
      </w:pPr>
    </w:p>
    <w:p w14:paraId="285EF3E1" w14:textId="77777777" w:rsidR="007C1F93" w:rsidRPr="009303A2" w:rsidRDefault="007C1F93" w:rsidP="00B942C0">
      <w:pPr>
        <w:widowControl w:val="0"/>
        <w:numPr>
          <w:ilvl w:val="0"/>
          <w:numId w:val="17"/>
        </w:numPr>
        <w:overflowPunct w:val="0"/>
        <w:autoSpaceDE w:val="0"/>
        <w:autoSpaceDN w:val="0"/>
        <w:adjustRightInd w:val="0"/>
        <w:ind w:left="709" w:hanging="709"/>
        <w:textAlignment w:val="baseline"/>
      </w:pPr>
      <w:r w:rsidRPr="009303A2">
        <w:t xml:space="preserve">Qualifications should be able to demonstrate that they will support young people to </w:t>
      </w:r>
      <w:r w:rsidRPr="009303A2">
        <w:rPr>
          <w:szCs w:val="24"/>
        </w:rPr>
        <w:t xml:space="preserve">acquire a significant </w:t>
      </w:r>
      <w:r>
        <w:rPr>
          <w:szCs w:val="24"/>
        </w:rPr>
        <w:t xml:space="preserve">core of </w:t>
      </w:r>
      <w:r w:rsidRPr="009303A2">
        <w:rPr>
          <w:szCs w:val="24"/>
        </w:rPr>
        <w:t xml:space="preserve">knowledge which spans the vocational </w:t>
      </w:r>
      <w:r>
        <w:rPr>
          <w:szCs w:val="24"/>
        </w:rPr>
        <w:t xml:space="preserve">area or </w:t>
      </w:r>
      <w:r w:rsidRPr="009303A2">
        <w:rPr>
          <w:szCs w:val="24"/>
        </w:rPr>
        <w:t>sector, as well as study skills that will support progression within the area of study and more broadly.</w:t>
      </w:r>
    </w:p>
    <w:p w14:paraId="5DBEB8CE" w14:textId="77777777" w:rsidR="007C1F93" w:rsidRPr="009303A2" w:rsidRDefault="007C1F93" w:rsidP="007C1F93"/>
    <w:p w14:paraId="78C4AE45" w14:textId="77777777" w:rsidR="007C1F93" w:rsidRPr="009303A2" w:rsidRDefault="007C1F93" w:rsidP="00B942C0">
      <w:pPr>
        <w:numPr>
          <w:ilvl w:val="0"/>
          <w:numId w:val="17"/>
        </w:numPr>
        <w:ind w:left="709" w:hanging="709"/>
      </w:pPr>
      <w:r>
        <w:t>S</w:t>
      </w:r>
      <w:r w:rsidRPr="009303A2">
        <w:t xml:space="preserve">ignificant content must be aligned to the broad curriculum area or vocational </w:t>
      </w:r>
      <w:r>
        <w:t xml:space="preserve">area or </w:t>
      </w:r>
      <w:r w:rsidRPr="009303A2">
        <w:t xml:space="preserve">sector. The qualification should not be dominated by specialist or skills-based content, whilst recognising this is important where appropriate and in proportion to the core of the qualification.  </w:t>
      </w:r>
    </w:p>
    <w:p w14:paraId="2C5E7B70" w14:textId="77777777" w:rsidR="007C1F93" w:rsidRDefault="007C1F93" w:rsidP="007C1F93">
      <w:pPr>
        <w:pStyle w:val="ListParagraph"/>
        <w:ind w:left="0"/>
        <w:rPr>
          <w:rFonts w:cs="Arial"/>
        </w:rPr>
      </w:pPr>
    </w:p>
    <w:p w14:paraId="3FB24098" w14:textId="77777777" w:rsidR="007C1F93" w:rsidRPr="00110E62" w:rsidRDefault="007C1F93" w:rsidP="00B942C0">
      <w:pPr>
        <w:pStyle w:val="ListParagraph"/>
        <w:widowControl/>
        <w:numPr>
          <w:ilvl w:val="0"/>
          <w:numId w:val="22"/>
        </w:numPr>
        <w:overflowPunct/>
        <w:autoSpaceDE/>
        <w:autoSpaceDN/>
        <w:adjustRightInd/>
        <w:ind w:left="709" w:hanging="709"/>
        <w:textAlignment w:val="auto"/>
        <w:rPr>
          <w:rFonts w:cs="Arial"/>
          <w:b/>
          <w:szCs w:val="24"/>
        </w:rPr>
      </w:pPr>
      <w:r w:rsidRPr="00110E62">
        <w:rPr>
          <w:rFonts w:cs="Arial"/>
          <w:b/>
          <w:szCs w:val="24"/>
        </w:rPr>
        <w:t>Progression</w:t>
      </w:r>
    </w:p>
    <w:p w14:paraId="3464D6F2" w14:textId="77777777" w:rsidR="007C1F93" w:rsidRDefault="007C1F93" w:rsidP="007C1F93">
      <w:pPr>
        <w:pStyle w:val="ListParagraph"/>
        <w:ind w:left="0"/>
        <w:rPr>
          <w:rFonts w:cs="Arial"/>
        </w:rPr>
      </w:pPr>
    </w:p>
    <w:p w14:paraId="1B96BF95" w14:textId="0035BDCA" w:rsidR="007C1F93" w:rsidRPr="007817A5" w:rsidRDefault="007C1F93" w:rsidP="00B942C0">
      <w:pPr>
        <w:numPr>
          <w:ilvl w:val="0"/>
          <w:numId w:val="17"/>
        </w:numPr>
        <w:ind w:left="709" w:hanging="709"/>
        <w:rPr>
          <w:szCs w:val="24"/>
        </w:rPr>
      </w:pPr>
      <w:r w:rsidRPr="007817A5">
        <w:t xml:space="preserve">Awarding </w:t>
      </w:r>
      <w:r>
        <w:t>o</w:t>
      </w:r>
      <w:r w:rsidRPr="007817A5">
        <w:t xml:space="preserve">rganisations </w:t>
      </w:r>
      <w:r>
        <w:t>should</w:t>
      </w:r>
      <w:r w:rsidRPr="007817A5">
        <w:t xml:space="preserve"> provide evidence that young people who complete the qualification are able to go on to study at a higher level in the same field of study and more broadly. This could be demonstrated</w:t>
      </w:r>
      <w:r>
        <w:t>, for example,</w:t>
      </w:r>
      <w:r w:rsidRPr="007817A5">
        <w:t xml:space="preserve"> </w:t>
      </w:r>
      <w:r>
        <w:t xml:space="preserve">through evidence about the </w:t>
      </w:r>
      <w:r w:rsidRPr="007817A5">
        <w:rPr>
          <w:szCs w:val="24"/>
        </w:rPr>
        <w:t xml:space="preserve">proportion of Higher Education Institutions recognising </w:t>
      </w:r>
      <w:r w:rsidR="004F344B">
        <w:rPr>
          <w:szCs w:val="24"/>
        </w:rPr>
        <w:t>Applied General Qualifications</w:t>
      </w:r>
      <w:r w:rsidRPr="007817A5">
        <w:rPr>
          <w:szCs w:val="24"/>
        </w:rPr>
        <w:t xml:space="preserve"> for entry to higher education courses in related subject areas.</w:t>
      </w:r>
      <w:r w:rsidRPr="007817A5">
        <w:rPr>
          <w:color w:val="FF0000"/>
          <w:szCs w:val="24"/>
        </w:rPr>
        <w:t xml:space="preserve"> </w:t>
      </w:r>
    </w:p>
    <w:p w14:paraId="01407D6A" w14:textId="77777777" w:rsidR="007C1F93" w:rsidRDefault="007C1F93" w:rsidP="007C1F93">
      <w:pPr>
        <w:rPr>
          <w:color w:val="FF0000"/>
          <w:szCs w:val="24"/>
        </w:rPr>
      </w:pPr>
    </w:p>
    <w:p w14:paraId="22180D86" w14:textId="77777777" w:rsidR="007C1F93" w:rsidRDefault="007C1F93" w:rsidP="00B942C0">
      <w:pPr>
        <w:pStyle w:val="ListParagraph"/>
        <w:widowControl/>
        <w:numPr>
          <w:ilvl w:val="0"/>
          <w:numId w:val="22"/>
        </w:numPr>
        <w:overflowPunct/>
        <w:autoSpaceDE/>
        <w:autoSpaceDN/>
        <w:adjustRightInd/>
        <w:ind w:left="709" w:hanging="709"/>
        <w:textAlignment w:val="auto"/>
        <w:rPr>
          <w:rFonts w:cs="Arial"/>
          <w:b/>
          <w:szCs w:val="24"/>
        </w:rPr>
      </w:pPr>
      <w:r>
        <w:rPr>
          <w:rFonts w:cs="Arial"/>
          <w:b/>
          <w:szCs w:val="24"/>
        </w:rPr>
        <w:t>Proven Track Record</w:t>
      </w:r>
    </w:p>
    <w:p w14:paraId="0FCB8222" w14:textId="77777777" w:rsidR="007C1F93" w:rsidRDefault="007C1F93" w:rsidP="007C1F93">
      <w:pPr>
        <w:rPr>
          <w:szCs w:val="24"/>
        </w:rPr>
      </w:pPr>
    </w:p>
    <w:p w14:paraId="0D4C1707" w14:textId="366AEE8B" w:rsidR="007C1F93" w:rsidRPr="00652912" w:rsidRDefault="007C1F93" w:rsidP="00B942C0">
      <w:pPr>
        <w:numPr>
          <w:ilvl w:val="0"/>
          <w:numId w:val="17"/>
        </w:numPr>
        <w:ind w:left="709" w:hanging="709"/>
        <w:rPr>
          <w:szCs w:val="24"/>
        </w:rPr>
      </w:pPr>
      <w:r w:rsidRPr="007817A5">
        <w:t>In order to de</w:t>
      </w:r>
      <w:r>
        <w:t xml:space="preserve">monstrate </w:t>
      </w:r>
      <w:r w:rsidRPr="007817A5">
        <w:t>track record</w:t>
      </w:r>
      <w:r>
        <w:t xml:space="preserve">, </w:t>
      </w:r>
      <w:r w:rsidR="004F344B">
        <w:t>a qualification</w:t>
      </w:r>
      <w:r w:rsidRPr="007817A5">
        <w:t xml:space="preserve"> will need to have been completed by at least 100 young people in at least five centres during the first year that </w:t>
      </w:r>
      <w:r>
        <w:t xml:space="preserve">it was </w:t>
      </w:r>
      <w:r w:rsidRPr="007817A5">
        <w:t xml:space="preserve">awarded. </w:t>
      </w:r>
    </w:p>
    <w:p w14:paraId="3B1C1A02" w14:textId="77777777" w:rsidR="007C1F93" w:rsidRPr="00652912" w:rsidRDefault="007C1F93" w:rsidP="007C1F93">
      <w:pPr>
        <w:ind w:left="1276"/>
        <w:rPr>
          <w:szCs w:val="24"/>
        </w:rPr>
      </w:pPr>
    </w:p>
    <w:p w14:paraId="6FDCDF4F" w14:textId="77777777" w:rsidR="007C1F93" w:rsidRDefault="007C1F93" w:rsidP="007C1F93">
      <w:pPr>
        <w:pStyle w:val="ListParagraph"/>
        <w:widowControl/>
        <w:overflowPunct/>
        <w:autoSpaceDE/>
        <w:autoSpaceDN/>
        <w:adjustRightInd/>
        <w:ind w:left="0"/>
        <w:textAlignment w:val="auto"/>
        <w:rPr>
          <w:rFonts w:eastAsia="Calibri" w:cs="Arial"/>
          <w:szCs w:val="24"/>
        </w:rPr>
      </w:pPr>
    </w:p>
    <w:p w14:paraId="076FDFE6" w14:textId="304871C8" w:rsidR="007C1F93" w:rsidRDefault="007C1F93" w:rsidP="007C1F93">
      <w:pPr>
        <w:pBdr>
          <w:top w:val="single" w:sz="4" w:space="1" w:color="auto"/>
          <w:left w:val="single" w:sz="4" w:space="4" w:color="auto"/>
          <w:bottom w:val="single" w:sz="4" w:space="1" w:color="auto"/>
          <w:right w:val="single" w:sz="4" w:space="4" w:color="auto"/>
        </w:pBdr>
        <w:spacing w:after="120"/>
      </w:pPr>
      <w:r>
        <w:t>Q</w:t>
      </w:r>
      <w:r w:rsidR="00800082">
        <w:t>6</w:t>
      </w:r>
      <w:r>
        <w:t>:</w:t>
      </w:r>
      <w:r w:rsidR="00D504A8">
        <w:tab/>
      </w:r>
      <w:r>
        <w:t xml:space="preserve">Do you agree with these standards for </w:t>
      </w:r>
      <w:r w:rsidR="004F344B">
        <w:t>Applied General Qualifications</w:t>
      </w:r>
      <w:r>
        <w:t>?</w:t>
      </w:r>
    </w:p>
    <w:p w14:paraId="69ED3A51" w14:textId="18DE701A" w:rsidR="007C1F93" w:rsidRDefault="007C1F93" w:rsidP="00B942C0">
      <w:pPr>
        <w:pBdr>
          <w:top w:val="single" w:sz="4" w:space="1" w:color="auto"/>
          <w:left w:val="single" w:sz="4" w:space="4" w:color="auto"/>
          <w:bottom w:val="single" w:sz="4" w:space="1" w:color="auto"/>
          <w:right w:val="single" w:sz="4" w:space="4" w:color="auto"/>
        </w:pBdr>
        <w:spacing w:after="120"/>
        <w:ind w:left="720" w:hanging="720"/>
      </w:pPr>
      <w:r>
        <w:t>Q</w:t>
      </w:r>
      <w:r w:rsidR="00800082">
        <w:t>7</w:t>
      </w:r>
      <w:r>
        <w:t>:</w:t>
      </w:r>
      <w:r w:rsidR="00D504A8">
        <w:tab/>
      </w:r>
      <w:r>
        <w:t xml:space="preserve">What is the </w:t>
      </w:r>
      <w:r w:rsidR="00ED19F2">
        <w:t xml:space="preserve">minimum </w:t>
      </w:r>
      <w:r>
        <w:t xml:space="preserve">proportion of the content of an </w:t>
      </w:r>
      <w:r w:rsidR="004F344B">
        <w:t>Applied General Qualification</w:t>
      </w:r>
      <w:r>
        <w:t xml:space="preserve"> that should be subject to external assessment?</w:t>
      </w:r>
    </w:p>
    <w:p w14:paraId="4CE3255E" w14:textId="45DDC405" w:rsidR="007C1F93" w:rsidRPr="00F048E2" w:rsidRDefault="007C1F93" w:rsidP="00B942C0">
      <w:pPr>
        <w:pBdr>
          <w:top w:val="single" w:sz="4" w:space="1" w:color="auto"/>
          <w:left w:val="single" w:sz="4" w:space="4" w:color="auto"/>
          <w:bottom w:val="single" w:sz="4" w:space="1" w:color="auto"/>
          <w:right w:val="single" w:sz="4" w:space="4" w:color="auto"/>
        </w:pBdr>
        <w:ind w:left="720" w:hanging="720"/>
      </w:pPr>
      <w:r>
        <w:rPr>
          <w:szCs w:val="24"/>
        </w:rPr>
        <w:t>Q</w:t>
      </w:r>
      <w:r w:rsidR="00800082">
        <w:rPr>
          <w:szCs w:val="24"/>
        </w:rPr>
        <w:t>8</w:t>
      </w:r>
      <w:r w:rsidRPr="00F048E2">
        <w:rPr>
          <w:szCs w:val="24"/>
        </w:rPr>
        <w:t>:</w:t>
      </w:r>
      <w:r w:rsidR="00D504A8">
        <w:rPr>
          <w:szCs w:val="24"/>
        </w:rPr>
        <w:tab/>
      </w:r>
      <w:r w:rsidRPr="00F048E2">
        <w:rPr>
          <w:szCs w:val="24"/>
        </w:rPr>
        <w:t>How can we</w:t>
      </w:r>
      <w:r>
        <w:rPr>
          <w:szCs w:val="24"/>
        </w:rPr>
        <w:t xml:space="preserve"> best</w:t>
      </w:r>
      <w:r w:rsidRPr="00F048E2">
        <w:rPr>
          <w:szCs w:val="24"/>
        </w:rPr>
        <w:t xml:space="preserve"> judge whether a qualification is valued by </w:t>
      </w:r>
      <w:r>
        <w:rPr>
          <w:szCs w:val="24"/>
        </w:rPr>
        <w:t>Higher Education Institutions</w:t>
      </w:r>
      <w:r w:rsidRPr="00F048E2">
        <w:rPr>
          <w:szCs w:val="24"/>
        </w:rPr>
        <w:t>?</w:t>
      </w:r>
    </w:p>
    <w:p w14:paraId="411D6F39" w14:textId="77777777" w:rsidR="007C1F93" w:rsidRDefault="007C1F93" w:rsidP="007C1F93">
      <w:pPr>
        <w:pStyle w:val="ListParagraph"/>
        <w:widowControl/>
        <w:overflowPunct/>
        <w:autoSpaceDE/>
        <w:autoSpaceDN/>
        <w:adjustRightInd/>
        <w:ind w:left="1080"/>
        <w:textAlignment w:val="auto"/>
        <w:rPr>
          <w:rFonts w:eastAsia="Calibri" w:cs="Arial"/>
          <w:b/>
          <w:szCs w:val="24"/>
        </w:rPr>
      </w:pPr>
    </w:p>
    <w:p w14:paraId="008E03A3" w14:textId="77777777" w:rsidR="00D504A8" w:rsidRDefault="00D504A8" w:rsidP="007C1F93">
      <w:pPr>
        <w:pStyle w:val="ListParagraph"/>
        <w:widowControl/>
        <w:overflowPunct/>
        <w:autoSpaceDE/>
        <w:autoSpaceDN/>
        <w:adjustRightInd/>
        <w:ind w:left="1080"/>
        <w:textAlignment w:val="auto"/>
        <w:rPr>
          <w:rFonts w:eastAsia="Calibri" w:cs="Arial"/>
          <w:b/>
          <w:szCs w:val="24"/>
        </w:rPr>
      </w:pPr>
    </w:p>
    <w:p w14:paraId="48044AE8" w14:textId="77777777" w:rsidR="00F66B5D" w:rsidRDefault="00F66B5D">
      <w:pPr>
        <w:rPr>
          <w:rFonts w:eastAsia="Times New Roman" w:cs="Times New Roman"/>
          <w:b/>
          <w:bCs/>
        </w:rPr>
      </w:pPr>
      <w:r>
        <w:rPr>
          <w:b/>
          <w:bCs/>
        </w:rPr>
        <w:br w:type="page"/>
      </w:r>
    </w:p>
    <w:p w14:paraId="2140C303" w14:textId="29DED60B" w:rsidR="007C1F93" w:rsidRDefault="007C1F93" w:rsidP="007C1F93">
      <w:pPr>
        <w:pStyle w:val="ListParagraph"/>
        <w:widowControl/>
        <w:overflowPunct/>
        <w:autoSpaceDE/>
        <w:adjustRightInd/>
        <w:ind w:left="0"/>
        <w:textAlignment w:val="auto"/>
        <w:rPr>
          <w:b/>
          <w:bCs/>
        </w:rPr>
      </w:pPr>
      <w:r>
        <w:rPr>
          <w:b/>
          <w:bCs/>
        </w:rPr>
        <w:lastRenderedPageBreak/>
        <w:t xml:space="preserve">Proposed characteristics </w:t>
      </w:r>
      <w:r w:rsidR="000A7235">
        <w:rPr>
          <w:b/>
          <w:bCs/>
        </w:rPr>
        <w:t>for Occupational Qualifications</w:t>
      </w:r>
    </w:p>
    <w:p w14:paraId="4C8613BE" w14:textId="77777777" w:rsidR="007C1F93" w:rsidRPr="009303A2" w:rsidRDefault="007C1F93" w:rsidP="007C1F93">
      <w:pPr>
        <w:rPr>
          <w:b/>
          <w:bCs/>
          <w:szCs w:val="24"/>
        </w:rPr>
      </w:pPr>
    </w:p>
    <w:p w14:paraId="4EB04F11" w14:textId="05C33ABB" w:rsidR="007C1F93" w:rsidRPr="009303A2" w:rsidRDefault="000A7235" w:rsidP="00B942C0">
      <w:pPr>
        <w:pStyle w:val="ListParagraph"/>
        <w:numPr>
          <w:ilvl w:val="0"/>
          <w:numId w:val="17"/>
        </w:numPr>
        <w:overflowPunct/>
        <w:autoSpaceDE/>
        <w:ind w:left="709" w:hanging="709"/>
        <w:rPr>
          <w:rFonts w:cs="Arial"/>
          <w:szCs w:val="24"/>
        </w:rPr>
      </w:pPr>
      <w:r>
        <w:t>Occupational Qualifications</w:t>
      </w:r>
      <w:r w:rsidR="007C1F93" w:rsidRPr="009303A2">
        <w:t xml:space="preserve"> prepare students to work in a particular job role. By definition, the</w:t>
      </w:r>
      <w:r w:rsidR="007C1F93" w:rsidRPr="009303A2">
        <w:rPr>
          <w:rStyle w:val="Emphasis"/>
          <w:i w:val="0"/>
          <w:iCs w:val="0"/>
        </w:rPr>
        <w:t xml:space="preserve"> qualification should confirm </w:t>
      </w:r>
      <w:r w:rsidR="007C1F93" w:rsidRPr="009303A2">
        <w:t xml:space="preserve">occupational competence to be considered an </w:t>
      </w:r>
      <w:r>
        <w:t>Occupational Qualification</w:t>
      </w:r>
      <w:r w:rsidR="007C1F93" w:rsidRPr="009303A2">
        <w:t>. For some occupations, qualifications may provide a ‘licence to practi</w:t>
      </w:r>
      <w:r w:rsidR="00CF5FB6">
        <w:t>s</w:t>
      </w:r>
      <w:r w:rsidR="007C1F93" w:rsidRPr="009303A2">
        <w:t>e’ or offer exemption from professional exams</w:t>
      </w:r>
      <w:r w:rsidR="007C1F93">
        <w:rPr>
          <w:szCs w:val="24"/>
        </w:rPr>
        <w:t>, or they may support progression to a degree or higher education qualification that secures entry to an occupation</w:t>
      </w:r>
      <w:r w:rsidR="007C1F93" w:rsidRPr="009303A2">
        <w:t xml:space="preserve">. </w:t>
      </w:r>
    </w:p>
    <w:p w14:paraId="5CD6205B" w14:textId="77777777" w:rsidR="007C1F93" w:rsidRDefault="007C1F93" w:rsidP="007C1F93">
      <w:pPr>
        <w:pStyle w:val="ListParagraph"/>
        <w:overflowPunct/>
        <w:autoSpaceDE/>
        <w:ind w:left="1276"/>
        <w:rPr>
          <w:rFonts w:cs="Arial"/>
          <w:szCs w:val="24"/>
        </w:rPr>
      </w:pPr>
    </w:p>
    <w:p w14:paraId="1DA43374" w14:textId="7642946B" w:rsidR="007C1F93" w:rsidRPr="00110E62" w:rsidRDefault="007C1F93" w:rsidP="00F66B5D">
      <w:pPr>
        <w:rPr>
          <w:b/>
          <w:szCs w:val="24"/>
        </w:rPr>
      </w:pPr>
      <w:r w:rsidRPr="00110E62">
        <w:rPr>
          <w:b/>
          <w:szCs w:val="24"/>
        </w:rPr>
        <w:t>Size</w:t>
      </w:r>
    </w:p>
    <w:p w14:paraId="3F56AE4D" w14:textId="77777777" w:rsidR="007C1F93" w:rsidRPr="00F24DF3" w:rsidRDefault="007C1F93" w:rsidP="007C1F93">
      <w:pPr>
        <w:pStyle w:val="ListParagraph"/>
        <w:overflowPunct/>
        <w:autoSpaceDE/>
        <w:ind w:left="0"/>
        <w:rPr>
          <w:rFonts w:cs="Arial"/>
          <w:szCs w:val="24"/>
        </w:rPr>
      </w:pPr>
    </w:p>
    <w:p w14:paraId="7B698C8C" w14:textId="5C42164B" w:rsidR="007C1F93" w:rsidRPr="00F24DF3" w:rsidRDefault="007C1F93" w:rsidP="00B942C0">
      <w:pPr>
        <w:pStyle w:val="ListParagraph"/>
        <w:numPr>
          <w:ilvl w:val="0"/>
          <w:numId w:val="17"/>
        </w:numPr>
        <w:overflowPunct/>
        <w:autoSpaceDE/>
        <w:ind w:left="709" w:hanging="709"/>
        <w:rPr>
          <w:rFonts w:cs="Arial"/>
          <w:szCs w:val="24"/>
        </w:rPr>
      </w:pPr>
      <w:r w:rsidRPr="00F24DF3">
        <w:t xml:space="preserve">Only </w:t>
      </w:r>
      <w:r w:rsidR="000A7235">
        <w:t>Occupational Qualifications</w:t>
      </w:r>
      <w:r w:rsidRPr="00F24DF3">
        <w:t xml:space="preserve"> equal</w:t>
      </w:r>
      <w:r w:rsidRPr="00F24DF3">
        <w:rPr>
          <w:b/>
          <w:bCs/>
        </w:rPr>
        <w:t xml:space="preserve"> </w:t>
      </w:r>
      <w:r w:rsidRPr="00F24DF3">
        <w:t xml:space="preserve">to or greater than </w:t>
      </w:r>
      <w:r>
        <w:t>15</w:t>
      </w:r>
      <w:r w:rsidRPr="00F24DF3">
        <w:t>0 Guided Learning Hours will be counted in the Performance Tables</w:t>
      </w:r>
      <w:r>
        <w:t xml:space="preserve">, differentiating these qualifications from smaller specialist courses and ensuring that they will count as a </w:t>
      </w:r>
      <w:r w:rsidRPr="00F24DF3">
        <w:t>‘substantial’ qualification</w:t>
      </w:r>
      <w:r>
        <w:t xml:space="preserve"> within a </w:t>
      </w:r>
      <w:r w:rsidR="000A7235">
        <w:t>16-19 Study Programme</w:t>
      </w:r>
      <w:r>
        <w:rPr>
          <w:rStyle w:val="FootnoteReference"/>
        </w:rPr>
        <w:footnoteReference w:id="16"/>
      </w:r>
      <w:r w:rsidR="000A7235">
        <w:t>.</w:t>
      </w:r>
    </w:p>
    <w:p w14:paraId="1B41C921" w14:textId="77777777" w:rsidR="007C1F93" w:rsidRDefault="007C1F93" w:rsidP="007C1F93">
      <w:pPr>
        <w:pStyle w:val="ListParagraph"/>
        <w:overflowPunct/>
        <w:autoSpaceDE/>
        <w:rPr>
          <w:rFonts w:cs="Arial"/>
          <w:szCs w:val="24"/>
        </w:rPr>
      </w:pPr>
    </w:p>
    <w:p w14:paraId="45CDAA9D" w14:textId="77777777" w:rsidR="007C1F93" w:rsidRPr="00110E62" w:rsidRDefault="007C1F93" w:rsidP="00B942C0">
      <w:pPr>
        <w:pStyle w:val="ListParagraph"/>
        <w:widowControl/>
        <w:numPr>
          <w:ilvl w:val="0"/>
          <w:numId w:val="32"/>
        </w:numPr>
        <w:overflowPunct/>
        <w:autoSpaceDE/>
        <w:autoSpaceDN/>
        <w:adjustRightInd/>
        <w:ind w:left="709" w:hanging="709"/>
        <w:textAlignment w:val="auto"/>
        <w:rPr>
          <w:rFonts w:cs="Arial"/>
          <w:b/>
          <w:szCs w:val="24"/>
        </w:rPr>
      </w:pPr>
      <w:r w:rsidRPr="00110E62">
        <w:rPr>
          <w:rFonts w:cs="Arial"/>
          <w:b/>
          <w:szCs w:val="24"/>
        </w:rPr>
        <w:t xml:space="preserve">Employer endorsement </w:t>
      </w:r>
    </w:p>
    <w:p w14:paraId="7E1728A4" w14:textId="77777777" w:rsidR="007C1F93" w:rsidRPr="007817A5" w:rsidRDefault="007C1F93" w:rsidP="007C1F93">
      <w:pPr>
        <w:pStyle w:val="ListParagraph"/>
        <w:overflowPunct/>
        <w:autoSpaceDE/>
        <w:ind w:left="0"/>
        <w:rPr>
          <w:rFonts w:cs="Arial"/>
          <w:szCs w:val="24"/>
        </w:rPr>
      </w:pPr>
    </w:p>
    <w:p w14:paraId="6E80F04A" w14:textId="287F4C5F" w:rsidR="00F66B5D" w:rsidRDefault="007C1F93" w:rsidP="00F66B5D">
      <w:pPr>
        <w:widowControl w:val="0"/>
        <w:numPr>
          <w:ilvl w:val="0"/>
          <w:numId w:val="17"/>
        </w:numPr>
        <w:overflowPunct w:val="0"/>
        <w:autoSpaceDE w:val="0"/>
        <w:autoSpaceDN w:val="0"/>
        <w:adjustRightInd w:val="0"/>
        <w:ind w:left="709" w:hanging="709"/>
        <w:textAlignment w:val="baseline"/>
        <w:rPr>
          <w:szCs w:val="24"/>
        </w:rPr>
      </w:pPr>
      <w:r>
        <w:rPr>
          <w:szCs w:val="24"/>
        </w:rPr>
        <w:t xml:space="preserve">Employers, rather </w:t>
      </w:r>
      <w:r w:rsidRPr="009303A2">
        <w:rPr>
          <w:szCs w:val="24"/>
        </w:rPr>
        <w:t xml:space="preserve">than the Government, are best placed to decide which </w:t>
      </w:r>
      <w:r w:rsidR="000A7235">
        <w:rPr>
          <w:szCs w:val="24"/>
        </w:rPr>
        <w:t>Occupational Qualifications</w:t>
      </w:r>
      <w:r w:rsidRPr="009303A2">
        <w:rPr>
          <w:szCs w:val="24"/>
        </w:rPr>
        <w:t xml:space="preserve"> meet their needs. Awarding </w:t>
      </w:r>
      <w:r>
        <w:rPr>
          <w:szCs w:val="24"/>
        </w:rPr>
        <w:t>o</w:t>
      </w:r>
      <w:r w:rsidRPr="009303A2">
        <w:rPr>
          <w:szCs w:val="24"/>
        </w:rPr>
        <w:t xml:space="preserve">rganisations should therefore demonstrate employer endorsement of these qualifications. This could be evidenced by an </w:t>
      </w:r>
      <w:r w:rsidR="000A7235">
        <w:rPr>
          <w:szCs w:val="24"/>
        </w:rPr>
        <w:t>Occupational Qualification</w:t>
      </w:r>
      <w:r w:rsidRPr="009303A2">
        <w:rPr>
          <w:szCs w:val="24"/>
        </w:rPr>
        <w:t xml:space="preserve"> being recognised or accredited by the relevant professional </w:t>
      </w:r>
      <w:r w:rsidR="00ED19F2">
        <w:rPr>
          <w:szCs w:val="24"/>
        </w:rPr>
        <w:t>or trade body</w:t>
      </w:r>
      <w:r w:rsidRPr="009303A2">
        <w:rPr>
          <w:szCs w:val="24"/>
        </w:rPr>
        <w:t xml:space="preserve"> as confirming occupational competence.</w:t>
      </w:r>
    </w:p>
    <w:p w14:paraId="1FEAC3E3" w14:textId="77777777" w:rsidR="00B62ACC" w:rsidRPr="00F66B5D" w:rsidRDefault="00B62ACC" w:rsidP="00F66B5D">
      <w:pPr>
        <w:widowControl w:val="0"/>
        <w:overflowPunct w:val="0"/>
        <w:autoSpaceDE w:val="0"/>
        <w:autoSpaceDN w:val="0"/>
        <w:adjustRightInd w:val="0"/>
        <w:textAlignment w:val="baseline"/>
        <w:rPr>
          <w:szCs w:val="24"/>
        </w:rPr>
      </w:pPr>
    </w:p>
    <w:p w14:paraId="1C76E976" w14:textId="26761D89" w:rsidR="007C1F93" w:rsidRPr="009303A2" w:rsidRDefault="007C1F93" w:rsidP="00B942C0">
      <w:pPr>
        <w:widowControl w:val="0"/>
        <w:numPr>
          <w:ilvl w:val="0"/>
          <w:numId w:val="17"/>
        </w:numPr>
        <w:overflowPunct w:val="0"/>
        <w:autoSpaceDE w:val="0"/>
        <w:autoSpaceDN w:val="0"/>
        <w:adjustRightInd w:val="0"/>
        <w:ind w:left="709" w:hanging="709"/>
        <w:textAlignment w:val="baseline"/>
        <w:rPr>
          <w:szCs w:val="24"/>
        </w:rPr>
      </w:pPr>
      <w:r>
        <w:rPr>
          <w:szCs w:val="24"/>
        </w:rPr>
        <w:t xml:space="preserve">To ensure that the course offered provides a genuine route into a particular occupation, </w:t>
      </w:r>
      <w:r w:rsidR="004E7298">
        <w:rPr>
          <w:szCs w:val="24"/>
        </w:rPr>
        <w:t>we will require endorsement of</w:t>
      </w:r>
      <w:r w:rsidR="00642E87">
        <w:rPr>
          <w:szCs w:val="24"/>
        </w:rPr>
        <w:t xml:space="preserve"> the approach to involving</w:t>
      </w:r>
      <w:r w:rsidR="00642E87" w:rsidRPr="009303A2">
        <w:rPr>
          <w:szCs w:val="24"/>
        </w:rPr>
        <w:t xml:space="preserve"> </w:t>
      </w:r>
      <w:r>
        <w:rPr>
          <w:szCs w:val="24"/>
        </w:rPr>
        <w:t xml:space="preserve">local </w:t>
      </w:r>
      <w:r w:rsidRPr="009303A2">
        <w:rPr>
          <w:szCs w:val="24"/>
        </w:rPr>
        <w:t>employers</w:t>
      </w:r>
      <w:r w:rsidR="00642E87">
        <w:rPr>
          <w:szCs w:val="24"/>
        </w:rPr>
        <w:t xml:space="preserve"> in a</w:t>
      </w:r>
      <w:r w:rsidR="004E7298">
        <w:rPr>
          <w:szCs w:val="24"/>
        </w:rPr>
        <w:t xml:space="preserve"> </w:t>
      </w:r>
      <w:r>
        <w:rPr>
          <w:szCs w:val="24"/>
        </w:rPr>
        <w:t xml:space="preserve">qualification’s </w:t>
      </w:r>
      <w:r w:rsidRPr="009303A2">
        <w:rPr>
          <w:szCs w:val="24"/>
        </w:rPr>
        <w:t xml:space="preserve">delivery, assessment and award. </w:t>
      </w:r>
    </w:p>
    <w:p w14:paraId="18E718E1" w14:textId="77777777" w:rsidR="007C1F93" w:rsidRDefault="007C1F93" w:rsidP="007C1F93">
      <w:pPr>
        <w:rPr>
          <w:szCs w:val="24"/>
        </w:rPr>
      </w:pPr>
    </w:p>
    <w:p w14:paraId="74B22E60" w14:textId="77777777" w:rsidR="007C1F93" w:rsidRPr="00110E62" w:rsidRDefault="007C1F93" w:rsidP="00B942C0">
      <w:pPr>
        <w:pStyle w:val="ListParagraph"/>
        <w:widowControl/>
        <w:numPr>
          <w:ilvl w:val="0"/>
          <w:numId w:val="32"/>
        </w:numPr>
        <w:overflowPunct/>
        <w:autoSpaceDE/>
        <w:autoSpaceDN/>
        <w:adjustRightInd/>
        <w:ind w:left="709" w:hanging="709"/>
        <w:textAlignment w:val="auto"/>
        <w:rPr>
          <w:rFonts w:cs="Arial"/>
          <w:b/>
          <w:szCs w:val="24"/>
        </w:rPr>
      </w:pPr>
      <w:r w:rsidRPr="00110E62">
        <w:rPr>
          <w:rFonts w:cs="Arial"/>
          <w:b/>
          <w:szCs w:val="24"/>
        </w:rPr>
        <w:t xml:space="preserve">Assessment </w:t>
      </w:r>
    </w:p>
    <w:p w14:paraId="72AA1361" w14:textId="77777777" w:rsidR="007C1F93" w:rsidRPr="00745461" w:rsidRDefault="007C1F93" w:rsidP="007C1F93">
      <w:pPr>
        <w:rPr>
          <w:szCs w:val="24"/>
        </w:rPr>
      </w:pPr>
    </w:p>
    <w:p w14:paraId="01B66FD8" w14:textId="726324C4" w:rsidR="007C1F93" w:rsidRPr="00FB4CC4" w:rsidRDefault="007C1F93" w:rsidP="00B942C0">
      <w:pPr>
        <w:widowControl w:val="0"/>
        <w:numPr>
          <w:ilvl w:val="0"/>
          <w:numId w:val="17"/>
        </w:numPr>
        <w:overflowPunct w:val="0"/>
        <w:autoSpaceDE w:val="0"/>
        <w:autoSpaceDN w:val="0"/>
        <w:adjustRightInd w:val="0"/>
        <w:ind w:left="709" w:hanging="709"/>
        <w:textAlignment w:val="baseline"/>
        <w:rPr>
          <w:szCs w:val="24"/>
        </w:rPr>
      </w:pPr>
      <w:r w:rsidRPr="00BC242D">
        <w:rPr>
          <w:szCs w:val="24"/>
        </w:rPr>
        <w:t xml:space="preserve">For an </w:t>
      </w:r>
      <w:r w:rsidR="000A7235">
        <w:rPr>
          <w:szCs w:val="24"/>
        </w:rPr>
        <w:t>Occupational Qualification</w:t>
      </w:r>
      <w:r w:rsidRPr="00BC242D">
        <w:rPr>
          <w:szCs w:val="24"/>
        </w:rPr>
        <w:t xml:space="preserve"> to have credibility with employers, </w:t>
      </w:r>
      <w:r>
        <w:rPr>
          <w:szCs w:val="24"/>
        </w:rPr>
        <w:t xml:space="preserve">assessment </w:t>
      </w:r>
      <w:r w:rsidR="00ED19F2">
        <w:rPr>
          <w:szCs w:val="24"/>
        </w:rPr>
        <w:t xml:space="preserve">should </w:t>
      </w:r>
      <w:r>
        <w:rPr>
          <w:szCs w:val="24"/>
        </w:rPr>
        <w:t xml:space="preserve">be undertaken by assessors with recent industry experience and </w:t>
      </w:r>
      <w:r w:rsidRPr="00BC242D">
        <w:rPr>
          <w:szCs w:val="24"/>
        </w:rPr>
        <w:t>award of the qualification be subject to demonstration of mastery</w:t>
      </w:r>
      <w:r w:rsidR="00E44EC3">
        <w:rPr>
          <w:szCs w:val="24"/>
        </w:rPr>
        <w:t>;</w:t>
      </w:r>
      <w:r w:rsidRPr="00BC242D">
        <w:rPr>
          <w:szCs w:val="24"/>
        </w:rPr>
        <w:t xml:space="preserve"> </w:t>
      </w:r>
      <w:r w:rsidR="00E44EC3">
        <w:rPr>
          <w:szCs w:val="24"/>
        </w:rPr>
        <w:t xml:space="preserve"> </w:t>
      </w:r>
      <w:r w:rsidRPr="00BC242D">
        <w:rPr>
          <w:szCs w:val="24"/>
        </w:rPr>
        <w:t xml:space="preserve">i.e. that the student has proven they can take the knowledge and expertise they have gained through the course and apply it in a real world context. </w:t>
      </w:r>
    </w:p>
    <w:p w14:paraId="4EED71D5" w14:textId="77777777" w:rsidR="007C1F93" w:rsidRDefault="007C1F93" w:rsidP="007C1F93">
      <w:pPr>
        <w:ind w:left="1276"/>
        <w:rPr>
          <w:szCs w:val="24"/>
        </w:rPr>
      </w:pPr>
    </w:p>
    <w:p w14:paraId="0634D359" w14:textId="34EA10E3" w:rsidR="007C1F93" w:rsidRPr="009849A7" w:rsidRDefault="007C1F93" w:rsidP="00B942C0">
      <w:pPr>
        <w:widowControl w:val="0"/>
        <w:numPr>
          <w:ilvl w:val="0"/>
          <w:numId w:val="17"/>
        </w:numPr>
        <w:overflowPunct w:val="0"/>
        <w:autoSpaceDE w:val="0"/>
        <w:autoSpaceDN w:val="0"/>
        <w:adjustRightInd w:val="0"/>
        <w:ind w:left="709" w:hanging="709"/>
        <w:textAlignment w:val="baseline"/>
        <w:rPr>
          <w:szCs w:val="24"/>
        </w:rPr>
      </w:pPr>
      <w:r>
        <w:rPr>
          <w:szCs w:val="24"/>
        </w:rPr>
        <w:t xml:space="preserve">Evidence that an </w:t>
      </w:r>
      <w:r w:rsidR="000A7235">
        <w:rPr>
          <w:szCs w:val="24"/>
        </w:rPr>
        <w:t>Occupational Qualification</w:t>
      </w:r>
      <w:r>
        <w:rPr>
          <w:szCs w:val="24"/>
        </w:rPr>
        <w:t xml:space="preserve"> can attest to occupational mastery</w:t>
      </w:r>
      <w:r w:rsidRPr="009849A7">
        <w:rPr>
          <w:szCs w:val="24"/>
        </w:rPr>
        <w:t xml:space="preserve"> could be </w:t>
      </w:r>
      <w:r w:rsidRPr="009A166E">
        <w:rPr>
          <w:szCs w:val="24"/>
        </w:rPr>
        <w:t xml:space="preserve">evidenced by a </w:t>
      </w:r>
      <w:r w:rsidRPr="009303A2">
        <w:t>qualification specification and assessment criteria detailing expectations (and where a qualification is already being delivered, evidence) such as:</w:t>
      </w:r>
    </w:p>
    <w:p w14:paraId="339CB514" w14:textId="77777777" w:rsidR="007C1F93" w:rsidRDefault="007C1F93" w:rsidP="007C1F93">
      <w:pPr>
        <w:pStyle w:val="ListParagraph"/>
      </w:pPr>
    </w:p>
    <w:p w14:paraId="1DDB9F80" w14:textId="1296B773" w:rsidR="007C1F93" w:rsidRDefault="007C1F93" w:rsidP="00B942C0">
      <w:pPr>
        <w:widowControl w:val="0"/>
        <w:numPr>
          <w:ilvl w:val="0"/>
          <w:numId w:val="26"/>
        </w:numPr>
        <w:overflowPunct w:val="0"/>
        <w:autoSpaceDE w:val="0"/>
        <w:autoSpaceDN w:val="0"/>
        <w:adjustRightInd w:val="0"/>
        <w:spacing w:after="120"/>
        <w:ind w:left="1134" w:hanging="425"/>
        <w:textAlignment w:val="baseline"/>
        <w:rPr>
          <w:szCs w:val="24"/>
        </w:rPr>
      </w:pPr>
      <w:r>
        <w:rPr>
          <w:szCs w:val="24"/>
        </w:rPr>
        <w:t xml:space="preserve">Employers playing a role in assessor teams, to ensure that assessment is mindful of current industry and occupational requirements; </w:t>
      </w:r>
    </w:p>
    <w:p w14:paraId="2968A0FA" w14:textId="77777777" w:rsidR="008C347A" w:rsidRDefault="008C347A">
      <w:pPr>
        <w:rPr>
          <w:szCs w:val="24"/>
        </w:rPr>
      </w:pPr>
      <w:r>
        <w:rPr>
          <w:szCs w:val="24"/>
        </w:rPr>
        <w:br w:type="page"/>
      </w:r>
    </w:p>
    <w:p w14:paraId="0D82C62C" w14:textId="5D79EC3C" w:rsidR="007C1F93" w:rsidRPr="009849A7" w:rsidRDefault="007C1F93" w:rsidP="00B942C0">
      <w:pPr>
        <w:widowControl w:val="0"/>
        <w:numPr>
          <w:ilvl w:val="0"/>
          <w:numId w:val="26"/>
        </w:numPr>
        <w:overflowPunct w:val="0"/>
        <w:autoSpaceDE w:val="0"/>
        <w:autoSpaceDN w:val="0"/>
        <w:adjustRightInd w:val="0"/>
        <w:spacing w:after="120"/>
        <w:ind w:left="1134" w:hanging="425"/>
        <w:textAlignment w:val="baseline"/>
        <w:rPr>
          <w:szCs w:val="24"/>
        </w:rPr>
      </w:pPr>
      <w:r>
        <w:rPr>
          <w:szCs w:val="24"/>
        </w:rPr>
        <w:lastRenderedPageBreak/>
        <w:t>Local assessor teams with industry experience working to a recognised national assessment framework to maintain standards;</w:t>
      </w:r>
    </w:p>
    <w:p w14:paraId="6CF94333" w14:textId="77777777" w:rsidR="007C1F93" w:rsidRPr="007817A5" w:rsidRDefault="007C1F93" w:rsidP="00B942C0">
      <w:pPr>
        <w:widowControl w:val="0"/>
        <w:numPr>
          <w:ilvl w:val="0"/>
          <w:numId w:val="26"/>
        </w:numPr>
        <w:overflowPunct w:val="0"/>
        <w:autoSpaceDE w:val="0"/>
        <w:autoSpaceDN w:val="0"/>
        <w:adjustRightInd w:val="0"/>
        <w:spacing w:after="120"/>
        <w:ind w:left="1134" w:hanging="425"/>
        <w:textAlignment w:val="baseline"/>
        <w:rPr>
          <w:szCs w:val="24"/>
        </w:rPr>
      </w:pPr>
      <w:r w:rsidRPr="00D504A8">
        <w:rPr>
          <w:szCs w:val="24"/>
        </w:rPr>
        <w:t>Projects or vivas designed to test the full breadth of the relevant competencies required for an occupation; and</w:t>
      </w:r>
    </w:p>
    <w:p w14:paraId="3193E4BA" w14:textId="6012850C" w:rsidR="007C1F93" w:rsidRPr="003F62E0" w:rsidRDefault="007C1F93" w:rsidP="001C681D">
      <w:pPr>
        <w:widowControl w:val="0"/>
        <w:numPr>
          <w:ilvl w:val="0"/>
          <w:numId w:val="26"/>
        </w:numPr>
        <w:overflowPunct w:val="0"/>
        <w:autoSpaceDE w:val="0"/>
        <w:autoSpaceDN w:val="0"/>
        <w:adjustRightInd w:val="0"/>
        <w:ind w:left="1134" w:hanging="425"/>
        <w:textAlignment w:val="baseline"/>
        <w:rPr>
          <w:szCs w:val="24"/>
        </w:rPr>
      </w:pPr>
      <w:r w:rsidRPr="00D504A8">
        <w:rPr>
          <w:szCs w:val="24"/>
        </w:rPr>
        <w:t>Students learning and receiving feedback from those skilled practitioners from whom they may later be seeking employment.</w:t>
      </w:r>
    </w:p>
    <w:p w14:paraId="5852E2FD" w14:textId="4D1283D6" w:rsidR="00D504A8" w:rsidRDefault="00D504A8"/>
    <w:p w14:paraId="1CA86090" w14:textId="77777777" w:rsidR="00B62ACC" w:rsidRDefault="007C1F93" w:rsidP="001C681D">
      <w:pPr>
        <w:widowControl w:val="0"/>
        <w:numPr>
          <w:ilvl w:val="0"/>
          <w:numId w:val="17"/>
        </w:numPr>
        <w:overflowPunct w:val="0"/>
        <w:autoSpaceDE w:val="0"/>
        <w:autoSpaceDN w:val="0"/>
        <w:adjustRightInd w:val="0"/>
        <w:ind w:left="709" w:hanging="709"/>
        <w:textAlignment w:val="baseline"/>
      </w:pPr>
      <w:r>
        <w:t>Where</w:t>
      </w:r>
      <w:r w:rsidRPr="009303A2">
        <w:t xml:space="preserve"> it is not possible to assess the learner in the workplace, simulations, case studies</w:t>
      </w:r>
      <w:r>
        <w:t xml:space="preserve"> and other similar techniques c</w:t>
      </w:r>
      <w:r w:rsidRPr="009303A2">
        <w:t>ould be used to provide a context appropriate to the assessment.</w:t>
      </w:r>
    </w:p>
    <w:p w14:paraId="771BC5AF" w14:textId="77777777" w:rsidR="00642E87" w:rsidRDefault="00642E87" w:rsidP="009E03F8">
      <w:pPr>
        <w:widowControl w:val="0"/>
        <w:overflowPunct w:val="0"/>
        <w:autoSpaceDE w:val="0"/>
        <w:autoSpaceDN w:val="0"/>
        <w:adjustRightInd w:val="0"/>
        <w:ind w:left="709"/>
        <w:textAlignment w:val="baseline"/>
      </w:pPr>
    </w:p>
    <w:p w14:paraId="7AD27692" w14:textId="77777777" w:rsidR="00642E87" w:rsidRPr="00B62ACC" w:rsidRDefault="00642E87" w:rsidP="00642E87">
      <w:pPr>
        <w:widowControl w:val="0"/>
        <w:numPr>
          <w:ilvl w:val="0"/>
          <w:numId w:val="17"/>
        </w:numPr>
        <w:overflowPunct w:val="0"/>
        <w:autoSpaceDE w:val="0"/>
        <w:autoSpaceDN w:val="0"/>
        <w:adjustRightInd w:val="0"/>
        <w:ind w:left="709" w:hanging="709"/>
        <w:textAlignment w:val="baseline"/>
        <w:rPr>
          <w:rFonts w:eastAsia="Times New Roman" w:cs="Times New Roman"/>
          <w:szCs w:val="24"/>
        </w:rPr>
      </w:pPr>
      <w:r>
        <w:t xml:space="preserve">Current occupational qualifications use a wide variety of grading approaches. Most award on a pass/fail basis. A quarter of occupational qualifications use a more detailed scale of grades to distinguish between different levels of student achievement. The awarding </w:t>
      </w:r>
      <w:r w:rsidRPr="00B62ACC">
        <w:rPr>
          <w:szCs w:val="24"/>
        </w:rPr>
        <w:t>o</w:t>
      </w:r>
      <w:r>
        <w:rPr>
          <w:szCs w:val="24"/>
        </w:rPr>
        <w:t>rganisation</w:t>
      </w:r>
      <w:r w:rsidRPr="00B62ACC">
        <w:rPr>
          <w:szCs w:val="24"/>
        </w:rPr>
        <w:t xml:space="preserve"> should</w:t>
      </w:r>
      <w:r w:rsidRPr="00B62ACC">
        <w:rPr>
          <w:rFonts w:eastAsia="Times New Roman"/>
          <w:color w:val="000000"/>
          <w:szCs w:val="24"/>
        </w:rPr>
        <w:t xml:space="preserve"> explain and justify why it has chosen to grade or not grade an </w:t>
      </w:r>
      <w:r>
        <w:rPr>
          <w:rFonts w:eastAsia="Times New Roman"/>
          <w:color w:val="000000"/>
          <w:szCs w:val="24"/>
        </w:rPr>
        <w:t>Occupational Qualification</w:t>
      </w:r>
      <w:r w:rsidRPr="00B62ACC">
        <w:rPr>
          <w:rFonts w:eastAsia="Times New Roman"/>
          <w:color w:val="000000"/>
          <w:szCs w:val="24"/>
        </w:rPr>
        <w:t xml:space="preserve">. The justification should include some account of how employers' use of the </w:t>
      </w:r>
      <w:r>
        <w:rPr>
          <w:rFonts w:eastAsia="Times New Roman"/>
          <w:color w:val="000000"/>
          <w:szCs w:val="24"/>
        </w:rPr>
        <w:t>qualification has fed into that</w:t>
      </w:r>
      <w:r w:rsidRPr="00B62ACC">
        <w:rPr>
          <w:rFonts w:eastAsia="Times New Roman"/>
          <w:color w:val="000000"/>
          <w:szCs w:val="24"/>
        </w:rPr>
        <w:t xml:space="preserve"> decision on grading.</w:t>
      </w:r>
    </w:p>
    <w:p w14:paraId="7FCE58ED" w14:textId="77777777" w:rsidR="00B62ACC" w:rsidRDefault="00B62ACC" w:rsidP="00B62ACC">
      <w:pPr>
        <w:widowControl w:val="0"/>
        <w:overflowPunct w:val="0"/>
        <w:autoSpaceDE w:val="0"/>
        <w:autoSpaceDN w:val="0"/>
        <w:adjustRightInd w:val="0"/>
        <w:ind w:left="709"/>
        <w:textAlignment w:val="baseline"/>
      </w:pPr>
    </w:p>
    <w:p w14:paraId="502355CB" w14:textId="109759B6" w:rsidR="00220F3D" w:rsidRDefault="007C1F93" w:rsidP="001C681D">
      <w:pPr>
        <w:widowControl w:val="0"/>
        <w:numPr>
          <w:ilvl w:val="0"/>
          <w:numId w:val="17"/>
        </w:numPr>
        <w:overflowPunct w:val="0"/>
        <w:autoSpaceDE w:val="0"/>
        <w:autoSpaceDN w:val="0"/>
        <w:adjustRightInd w:val="0"/>
        <w:ind w:left="709" w:hanging="709"/>
        <w:textAlignment w:val="baseline"/>
      </w:pPr>
      <w:r w:rsidRPr="00E11FB5">
        <w:t>Most unit-based QCF qualifications do n</w:t>
      </w:r>
      <w:r w:rsidR="003A311D">
        <w:t>ot require synoptic assessment.</w:t>
      </w:r>
      <w:r w:rsidRPr="00E11FB5">
        <w:t xml:space="preserve"> This may be appropriate for adults re-skilling or up-skilling in a particular occupation. However, young people undertaking an </w:t>
      </w:r>
      <w:r w:rsidR="000A7235">
        <w:t>Occupational Qualification</w:t>
      </w:r>
      <w:r w:rsidRPr="00E11FB5">
        <w:t xml:space="preserve"> in order to gain competence in a job role they wish to pursue need to be able to demonstrate that they can use all of the skills, techniques, concepts, theories and knowledge they have learnt about a vocational area in an integrated way. This may require an additional unit to provide synoptic assessment.</w:t>
      </w:r>
    </w:p>
    <w:p w14:paraId="1625D5A7" w14:textId="77777777" w:rsidR="00B62ACC" w:rsidRPr="001C681D" w:rsidRDefault="00B62ACC" w:rsidP="001C681D">
      <w:pPr>
        <w:rPr>
          <w:b/>
          <w:szCs w:val="24"/>
        </w:rPr>
      </w:pPr>
    </w:p>
    <w:p w14:paraId="31B118DA" w14:textId="77777777" w:rsidR="007C1F93" w:rsidRPr="00110E62" w:rsidRDefault="007C1F93" w:rsidP="00B942C0">
      <w:pPr>
        <w:pStyle w:val="ListParagraph"/>
        <w:widowControl/>
        <w:numPr>
          <w:ilvl w:val="0"/>
          <w:numId w:val="32"/>
        </w:numPr>
        <w:overflowPunct/>
        <w:autoSpaceDE/>
        <w:autoSpaceDN/>
        <w:adjustRightInd/>
        <w:ind w:left="709" w:hanging="709"/>
        <w:textAlignment w:val="auto"/>
        <w:rPr>
          <w:rFonts w:cs="Arial"/>
          <w:b/>
          <w:szCs w:val="24"/>
        </w:rPr>
      </w:pPr>
      <w:r w:rsidRPr="00110E62">
        <w:rPr>
          <w:rFonts w:cs="Arial"/>
          <w:b/>
          <w:szCs w:val="24"/>
        </w:rPr>
        <w:t>Progression</w:t>
      </w:r>
    </w:p>
    <w:p w14:paraId="72131E16" w14:textId="77777777" w:rsidR="007C1F93" w:rsidRDefault="007C1F93" w:rsidP="007C1F93">
      <w:pPr>
        <w:pStyle w:val="ListParagraph"/>
        <w:ind w:left="0"/>
      </w:pPr>
    </w:p>
    <w:p w14:paraId="6276295A" w14:textId="72322AB4" w:rsidR="007C1F93" w:rsidRPr="005C0174" w:rsidRDefault="007C1F93" w:rsidP="00B942C0">
      <w:pPr>
        <w:widowControl w:val="0"/>
        <w:numPr>
          <w:ilvl w:val="0"/>
          <w:numId w:val="17"/>
        </w:numPr>
        <w:overflowPunct w:val="0"/>
        <w:autoSpaceDE w:val="0"/>
        <w:autoSpaceDN w:val="0"/>
        <w:adjustRightInd w:val="0"/>
        <w:ind w:left="709" w:hanging="709"/>
        <w:textAlignment w:val="baseline"/>
        <w:rPr>
          <w:szCs w:val="24"/>
        </w:rPr>
      </w:pPr>
      <w:r w:rsidRPr="009303A2">
        <w:t xml:space="preserve">Only </w:t>
      </w:r>
      <w:r w:rsidR="003A311D">
        <w:t>Occupational Qualifications</w:t>
      </w:r>
      <w:r w:rsidRPr="009303A2">
        <w:t xml:space="preserve"> </w:t>
      </w:r>
      <w:r>
        <w:t xml:space="preserve">that are supported by </w:t>
      </w:r>
      <w:r w:rsidRPr="009303A2">
        <w:t>employers</w:t>
      </w:r>
      <w:r>
        <w:t xml:space="preserve"> and providers of relevant HE courses and degrees</w:t>
      </w:r>
      <w:r w:rsidRPr="009303A2">
        <w:t xml:space="preserve"> should count in Performance Tables. A significant proportion of students achieving an </w:t>
      </w:r>
      <w:r w:rsidR="003A311D">
        <w:t>Occupational Qualification</w:t>
      </w:r>
      <w:r w:rsidRPr="009303A2">
        <w:t xml:space="preserve"> should progress to employment or </w:t>
      </w:r>
      <w:r w:rsidRPr="005C0174">
        <w:rPr>
          <w:szCs w:val="24"/>
        </w:rPr>
        <w:t xml:space="preserve">a relevant degree or higher education qualification that qualifies entry to the occupation or a </w:t>
      </w:r>
      <w:r w:rsidRPr="009303A2">
        <w:t xml:space="preserve">related occupation. Awarding </w:t>
      </w:r>
      <w:r>
        <w:t>o</w:t>
      </w:r>
      <w:r w:rsidRPr="009303A2">
        <w:t xml:space="preserve">rganisations will need to provide evidence </w:t>
      </w:r>
      <w:r>
        <w:t xml:space="preserve">that </w:t>
      </w:r>
      <w:r w:rsidRPr="009303A2">
        <w:t xml:space="preserve">this </w:t>
      </w:r>
      <w:r>
        <w:t xml:space="preserve">has taken place within </w:t>
      </w:r>
      <w:r w:rsidRPr="009303A2">
        <w:t xml:space="preserve">the first two years of </w:t>
      </w:r>
      <w:r>
        <w:t xml:space="preserve">a qualification being </w:t>
      </w:r>
      <w:r w:rsidRPr="009303A2">
        <w:t>award</w:t>
      </w:r>
      <w:r>
        <w:t>ed</w:t>
      </w:r>
      <w:r w:rsidRPr="009303A2">
        <w:t>.</w:t>
      </w:r>
    </w:p>
    <w:p w14:paraId="6A1D492B" w14:textId="77777777" w:rsidR="007C1F93" w:rsidRPr="009303A2" w:rsidRDefault="007C1F93" w:rsidP="007C1F93">
      <w:pPr>
        <w:ind w:left="1276"/>
        <w:rPr>
          <w:szCs w:val="24"/>
        </w:rPr>
      </w:pPr>
    </w:p>
    <w:p w14:paraId="008CF0E9" w14:textId="09039E55" w:rsidR="007C1F93" w:rsidRPr="009303A2" w:rsidRDefault="007C1F93" w:rsidP="00B942C0">
      <w:pPr>
        <w:pBdr>
          <w:top w:val="single" w:sz="4" w:space="1" w:color="auto"/>
          <w:left w:val="single" w:sz="4" w:space="4" w:color="auto"/>
          <w:bottom w:val="single" w:sz="4" w:space="1" w:color="auto"/>
          <w:right w:val="single" w:sz="4" w:space="4" w:color="auto"/>
        </w:pBdr>
        <w:spacing w:after="120"/>
        <w:ind w:left="709" w:hanging="709"/>
        <w:rPr>
          <w:szCs w:val="24"/>
        </w:rPr>
      </w:pPr>
      <w:r w:rsidRPr="009303A2">
        <w:rPr>
          <w:szCs w:val="24"/>
        </w:rPr>
        <w:t>Q</w:t>
      </w:r>
      <w:r w:rsidR="00800082">
        <w:rPr>
          <w:szCs w:val="24"/>
        </w:rPr>
        <w:t>9</w:t>
      </w:r>
      <w:r w:rsidRPr="009303A2">
        <w:rPr>
          <w:szCs w:val="24"/>
        </w:rPr>
        <w:t>:</w:t>
      </w:r>
      <w:r w:rsidR="00D504A8">
        <w:rPr>
          <w:szCs w:val="24"/>
        </w:rPr>
        <w:tab/>
      </w:r>
      <w:r w:rsidRPr="009303A2">
        <w:rPr>
          <w:szCs w:val="24"/>
        </w:rPr>
        <w:t xml:space="preserve">Do you agree with these standards for </w:t>
      </w:r>
      <w:r w:rsidR="003A311D">
        <w:rPr>
          <w:szCs w:val="24"/>
        </w:rPr>
        <w:t>Occupational Qualifications</w:t>
      </w:r>
      <w:r w:rsidRPr="009303A2">
        <w:rPr>
          <w:szCs w:val="24"/>
        </w:rPr>
        <w:t>? Can they be applied across any sector or local area?</w:t>
      </w:r>
    </w:p>
    <w:p w14:paraId="3A02B88B" w14:textId="4365F704" w:rsidR="007C1F93" w:rsidRPr="009303A2" w:rsidRDefault="007C1F93" w:rsidP="00B942C0">
      <w:pPr>
        <w:pBdr>
          <w:top w:val="single" w:sz="4" w:space="1" w:color="auto"/>
          <w:left w:val="single" w:sz="4" w:space="4" w:color="auto"/>
          <w:bottom w:val="single" w:sz="4" w:space="1" w:color="auto"/>
          <w:right w:val="single" w:sz="4" w:space="4" w:color="auto"/>
        </w:pBdr>
        <w:spacing w:after="120"/>
        <w:ind w:left="709" w:hanging="709"/>
        <w:rPr>
          <w:szCs w:val="24"/>
        </w:rPr>
      </w:pPr>
      <w:r w:rsidRPr="009303A2">
        <w:rPr>
          <w:szCs w:val="24"/>
        </w:rPr>
        <w:t>Q</w:t>
      </w:r>
      <w:r>
        <w:rPr>
          <w:szCs w:val="24"/>
        </w:rPr>
        <w:t>1</w:t>
      </w:r>
      <w:r w:rsidR="00800082">
        <w:rPr>
          <w:szCs w:val="24"/>
        </w:rPr>
        <w:t>0</w:t>
      </w:r>
      <w:r w:rsidRPr="009303A2">
        <w:rPr>
          <w:szCs w:val="24"/>
        </w:rPr>
        <w:t>:</w:t>
      </w:r>
      <w:r w:rsidR="00D504A8">
        <w:rPr>
          <w:szCs w:val="24"/>
        </w:rPr>
        <w:tab/>
      </w:r>
      <w:r w:rsidRPr="009303A2">
        <w:rPr>
          <w:szCs w:val="24"/>
        </w:rPr>
        <w:t xml:space="preserve">How can </w:t>
      </w:r>
      <w:r>
        <w:rPr>
          <w:szCs w:val="24"/>
        </w:rPr>
        <w:t>a</w:t>
      </w:r>
      <w:r w:rsidRPr="009303A2">
        <w:rPr>
          <w:szCs w:val="24"/>
        </w:rPr>
        <w:t xml:space="preserve">warding </w:t>
      </w:r>
      <w:r>
        <w:rPr>
          <w:szCs w:val="24"/>
        </w:rPr>
        <w:t>o</w:t>
      </w:r>
      <w:r w:rsidRPr="009303A2">
        <w:rPr>
          <w:szCs w:val="24"/>
        </w:rPr>
        <w:t xml:space="preserve">rganisations support providers in engaging </w:t>
      </w:r>
      <w:r>
        <w:rPr>
          <w:szCs w:val="24"/>
        </w:rPr>
        <w:t xml:space="preserve">local </w:t>
      </w:r>
      <w:r w:rsidRPr="009303A2">
        <w:rPr>
          <w:szCs w:val="24"/>
        </w:rPr>
        <w:t xml:space="preserve">employers in delivering and assessing qualifications </w:t>
      </w:r>
      <w:r w:rsidRPr="000175FA">
        <w:rPr>
          <w:szCs w:val="24"/>
        </w:rPr>
        <w:t>on the ground</w:t>
      </w:r>
      <w:r w:rsidRPr="009303A2">
        <w:rPr>
          <w:szCs w:val="24"/>
        </w:rPr>
        <w:t>?</w:t>
      </w:r>
    </w:p>
    <w:p w14:paraId="156E722F" w14:textId="5D411E09" w:rsidR="007C1F93" w:rsidRDefault="007C1F93" w:rsidP="00B942C0">
      <w:pPr>
        <w:pBdr>
          <w:top w:val="single" w:sz="4" w:space="1" w:color="auto"/>
          <w:left w:val="single" w:sz="4" w:space="4" w:color="auto"/>
          <w:bottom w:val="single" w:sz="4" w:space="1" w:color="auto"/>
          <w:right w:val="single" w:sz="4" w:space="4" w:color="auto"/>
        </w:pBdr>
        <w:spacing w:after="120"/>
        <w:ind w:left="709" w:hanging="709"/>
        <w:rPr>
          <w:szCs w:val="24"/>
        </w:rPr>
      </w:pPr>
      <w:r w:rsidRPr="009303A2">
        <w:rPr>
          <w:szCs w:val="24"/>
        </w:rPr>
        <w:t>Q</w:t>
      </w:r>
      <w:r>
        <w:rPr>
          <w:szCs w:val="24"/>
        </w:rPr>
        <w:t>1</w:t>
      </w:r>
      <w:r w:rsidR="00800082">
        <w:rPr>
          <w:szCs w:val="24"/>
        </w:rPr>
        <w:t>1</w:t>
      </w:r>
      <w:r w:rsidRPr="009303A2">
        <w:rPr>
          <w:szCs w:val="24"/>
        </w:rPr>
        <w:t>:</w:t>
      </w:r>
      <w:r w:rsidR="00D504A8">
        <w:rPr>
          <w:szCs w:val="24"/>
        </w:rPr>
        <w:tab/>
      </w:r>
      <w:r w:rsidRPr="009303A2">
        <w:rPr>
          <w:szCs w:val="24"/>
        </w:rPr>
        <w:t xml:space="preserve">How </w:t>
      </w:r>
      <w:r>
        <w:rPr>
          <w:szCs w:val="24"/>
        </w:rPr>
        <w:t>should</w:t>
      </w:r>
      <w:r w:rsidRPr="009303A2">
        <w:rPr>
          <w:szCs w:val="24"/>
        </w:rPr>
        <w:t xml:space="preserve"> we evidence provider engagement with local employers in the delivery and assessment of </w:t>
      </w:r>
      <w:r w:rsidR="003A311D">
        <w:rPr>
          <w:szCs w:val="24"/>
        </w:rPr>
        <w:t>Occupational Qualifications</w:t>
      </w:r>
      <w:r w:rsidRPr="009303A2">
        <w:rPr>
          <w:szCs w:val="24"/>
        </w:rPr>
        <w:t>?</w:t>
      </w:r>
    </w:p>
    <w:p w14:paraId="3C2A322A" w14:textId="4E520F46" w:rsidR="00800082" w:rsidRPr="009303A2" w:rsidRDefault="00800082" w:rsidP="009D751A">
      <w:pPr>
        <w:pBdr>
          <w:top w:val="single" w:sz="4" w:space="1" w:color="auto"/>
          <w:left w:val="single" w:sz="4" w:space="4" w:color="auto"/>
          <w:bottom w:val="single" w:sz="4" w:space="1" w:color="auto"/>
          <w:right w:val="single" w:sz="4" w:space="4" w:color="auto"/>
        </w:pBdr>
        <w:spacing w:after="120"/>
        <w:rPr>
          <w:szCs w:val="24"/>
        </w:rPr>
      </w:pPr>
    </w:p>
    <w:p w14:paraId="491F312B" w14:textId="77777777" w:rsidR="007C1F93" w:rsidRPr="007817A5" w:rsidRDefault="007C1F93" w:rsidP="007C1F93">
      <w:pPr>
        <w:ind w:left="1276"/>
        <w:rPr>
          <w:szCs w:val="24"/>
        </w:rPr>
      </w:pPr>
    </w:p>
    <w:p w14:paraId="76F839E0" w14:textId="77777777" w:rsidR="008C347A" w:rsidRDefault="008C347A">
      <w:pPr>
        <w:rPr>
          <w:szCs w:val="24"/>
        </w:rPr>
      </w:pPr>
      <w:r>
        <w:rPr>
          <w:szCs w:val="24"/>
        </w:rPr>
        <w:br w:type="page"/>
      </w:r>
    </w:p>
    <w:p w14:paraId="4CAE0C06" w14:textId="118FEC90" w:rsidR="007C1F93" w:rsidRPr="007817A5" w:rsidRDefault="007C1F93" w:rsidP="00B942C0">
      <w:pPr>
        <w:widowControl w:val="0"/>
        <w:numPr>
          <w:ilvl w:val="0"/>
          <w:numId w:val="17"/>
        </w:numPr>
        <w:overflowPunct w:val="0"/>
        <w:autoSpaceDE w:val="0"/>
        <w:autoSpaceDN w:val="0"/>
        <w:adjustRightInd w:val="0"/>
        <w:ind w:left="709" w:hanging="709"/>
        <w:textAlignment w:val="baseline"/>
        <w:rPr>
          <w:szCs w:val="24"/>
        </w:rPr>
      </w:pPr>
      <w:r w:rsidRPr="007817A5">
        <w:rPr>
          <w:szCs w:val="24"/>
        </w:rPr>
        <w:lastRenderedPageBreak/>
        <w:t xml:space="preserve">The skills requirements of the </w:t>
      </w:r>
      <w:r>
        <w:rPr>
          <w:szCs w:val="24"/>
        </w:rPr>
        <w:t xml:space="preserve">UK </w:t>
      </w:r>
      <w:r w:rsidRPr="007817A5">
        <w:rPr>
          <w:szCs w:val="24"/>
        </w:rPr>
        <w:t xml:space="preserve">economy change and </w:t>
      </w:r>
      <w:r>
        <w:rPr>
          <w:szCs w:val="24"/>
        </w:rPr>
        <w:t xml:space="preserve">evolve over time. </w:t>
      </w:r>
      <w:r w:rsidR="003A311D">
        <w:rPr>
          <w:szCs w:val="24"/>
        </w:rPr>
        <w:t>For this reason</w:t>
      </w:r>
      <w:r>
        <w:rPr>
          <w:szCs w:val="24"/>
        </w:rPr>
        <w:t xml:space="preserve"> we want to encourage</w:t>
      </w:r>
      <w:r w:rsidRPr="007817A5">
        <w:rPr>
          <w:szCs w:val="24"/>
        </w:rPr>
        <w:t xml:space="preserve"> </w:t>
      </w:r>
      <w:r>
        <w:rPr>
          <w:szCs w:val="24"/>
        </w:rPr>
        <w:t>a</w:t>
      </w:r>
      <w:r w:rsidRPr="007817A5">
        <w:rPr>
          <w:szCs w:val="24"/>
        </w:rPr>
        <w:t xml:space="preserve">warding </w:t>
      </w:r>
      <w:r>
        <w:rPr>
          <w:szCs w:val="24"/>
        </w:rPr>
        <w:t>o</w:t>
      </w:r>
      <w:r w:rsidRPr="007817A5">
        <w:rPr>
          <w:szCs w:val="24"/>
        </w:rPr>
        <w:t>rganisations</w:t>
      </w:r>
      <w:r>
        <w:rPr>
          <w:szCs w:val="24"/>
        </w:rPr>
        <w:t xml:space="preserve"> to work </w:t>
      </w:r>
      <w:r w:rsidRPr="007817A5">
        <w:rPr>
          <w:szCs w:val="24"/>
        </w:rPr>
        <w:t xml:space="preserve">with </w:t>
      </w:r>
      <w:r w:rsidR="00ED19F2">
        <w:rPr>
          <w:szCs w:val="24"/>
        </w:rPr>
        <w:t>employers and professional and trade bodies</w:t>
      </w:r>
      <w:r w:rsidRPr="007817A5">
        <w:rPr>
          <w:szCs w:val="24"/>
        </w:rPr>
        <w:t xml:space="preserve"> to develop new </w:t>
      </w:r>
      <w:r w:rsidR="004F2CAB">
        <w:rPr>
          <w:szCs w:val="24"/>
        </w:rPr>
        <w:t xml:space="preserve">high value </w:t>
      </w:r>
      <w:r w:rsidRPr="007817A5">
        <w:rPr>
          <w:szCs w:val="24"/>
        </w:rPr>
        <w:t>qualifications that</w:t>
      </w:r>
      <w:r w:rsidR="00C938F3">
        <w:rPr>
          <w:szCs w:val="24"/>
        </w:rPr>
        <w:t xml:space="preserve"> </w:t>
      </w:r>
      <w:r w:rsidR="00C938F3" w:rsidRPr="00C938F3">
        <w:rPr>
          <w:szCs w:val="24"/>
        </w:rPr>
        <w:t>can count in the performance tables in the future.</w:t>
      </w:r>
      <w:r w:rsidRPr="007817A5">
        <w:rPr>
          <w:szCs w:val="24"/>
        </w:rPr>
        <w:t xml:space="preserve"> </w:t>
      </w:r>
      <w:r>
        <w:rPr>
          <w:szCs w:val="24"/>
        </w:rPr>
        <w:t>To do this a</w:t>
      </w:r>
      <w:r w:rsidRPr="007817A5">
        <w:rPr>
          <w:szCs w:val="24"/>
        </w:rPr>
        <w:t xml:space="preserve">warding </w:t>
      </w:r>
      <w:r>
        <w:rPr>
          <w:szCs w:val="24"/>
        </w:rPr>
        <w:t>o</w:t>
      </w:r>
      <w:r w:rsidRPr="007817A5">
        <w:rPr>
          <w:szCs w:val="24"/>
        </w:rPr>
        <w:t xml:space="preserve">rganisations will need to consider whether their qualification will meet the characteristics set out in this paper and then pilot it in order to provide evidence of this. We will use this evidence to judge whether the qualification </w:t>
      </w:r>
      <w:r w:rsidR="004F2CAB">
        <w:rPr>
          <w:szCs w:val="24"/>
        </w:rPr>
        <w:t>achieve the standards required for inclusion in the performance tables</w:t>
      </w:r>
      <w:r w:rsidRPr="007817A5">
        <w:rPr>
          <w:szCs w:val="24"/>
        </w:rPr>
        <w:t xml:space="preserve">. Where </w:t>
      </w:r>
      <w:r>
        <w:rPr>
          <w:szCs w:val="24"/>
        </w:rPr>
        <w:t>a</w:t>
      </w:r>
      <w:r w:rsidRPr="007817A5">
        <w:rPr>
          <w:szCs w:val="24"/>
        </w:rPr>
        <w:t xml:space="preserve">warding </w:t>
      </w:r>
      <w:r>
        <w:rPr>
          <w:szCs w:val="24"/>
        </w:rPr>
        <w:t>o</w:t>
      </w:r>
      <w:r w:rsidRPr="007817A5">
        <w:rPr>
          <w:szCs w:val="24"/>
        </w:rPr>
        <w:t xml:space="preserve">rganisations have agreed with us that a qualification can be piloted, it will count in the performance tables </w:t>
      </w:r>
      <w:r>
        <w:rPr>
          <w:szCs w:val="24"/>
        </w:rPr>
        <w:t>for</w:t>
      </w:r>
      <w:r w:rsidRPr="007817A5">
        <w:rPr>
          <w:szCs w:val="24"/>
        </w:rPr>
        <w:t xml:space="preserve"> a limited period.</w:t>
      </w:r>
    </w:p>
    <w:p w14:paraId="4C100E02" w14:textId="77777777" w:rsidR="007C1F93" w:rsidRDefault="007C1F93" w:rsidP="007C1F93">
      <w:pPr>
        <w:pStyle w:val="ListParagraph"/>
        <w:rPr>
          <w:rFonts w:eastAsia="Calibri" w:cs="Arial"/>
          <w:szCs w:val="24"/>
        </w:rPr>
      </w:pPr>
    </w:p>
    <w:p w14:paraId="1EF635AD" w14:textId="47FA38AB" w:rsidR="007C1F93" w:rsidRPr="007817A5" w:rsidRDefault="007C1F93" w:rsidP="00B942C0">
      <w:pPr>
        <w:widowControl w:val="0"/>
        <w:numPr>
          <w:ilvl w:val="0"/>
          <w:numId w:val="17"/>
        </w:numPr>
        <w:overflowPunct w:val="0"/>
        <w:autoSpaceDE w:val="0"/>
        <w:autoSpaceDN w:val="0"/>
        <w:adjustRightInd w:val="0"/>
        <w:ind w:left="709" w:hanging="709"/>
        <w:textAlignment w:val="baseline"/>
        <w:rPr>
          <w:szCs w:val="24"/>
        </w:rPr>
      </w:pPr>
      <w:r w:rsidRPr="007817A5">
        <w:rPr>
          <w:szCs w:val="24"/>
        </w:rPr>
        <w:t xml:space="preserve">There will be cases where </w:t>
      </w:r>
      <w:r>
        <w:rPr>
          <w:szCs w:val="24"/>
        </w:rPr>
        <w:t>a</w:t>
      </w:r>
      <w:r w:rsidRPr="007817A5">
        <w:rPr>
          <w:szCs w:val="24"/>
        </w:rPr>
        <w:t xml:space="preserve">warding </w:t>
      </w:r>
      <w:r>
        <w:rPr>
          <w:szCs w:val="24"/>
        </w:rPr>
        <w:t>o</w:t>
      </w:r>
      <w:r w:rsidRPr="007817A5">
        <w:rPr>
          <w:szCs w:val="24"/>
        </w:rPr>
        <w:t>rganisations</w:t>
      </w:r>
      <w:r w:rsidR="005425A0">
        <w:rPr>
          <w:szCs w:val="24"/>
        </w:rPr>
        <w:t xml:space="preserve"> wish to modify existing, well-</w:t>
      </w:r>
      <w:r w:rsidRPr="007817A5">
        <w:rPr>
          <w:szCs w:val="24"/>
        </w:rPr>
        <w:t>established qualifications. We will examine these on a case-by-case basis; generally we would expect that only those qualifications than have been substantially revised will be treated as ‘new’ and therefore require a pilot.</w:t>
      </w:r>
    </w:p>
    <w:p w14:paraId="0D0854DE" w14:textId="6D453395" w:rsidR="007C1F93" w:rsidRDefault="007C1F93" w:rsidP="007C1F93">
      <w:pPr>
        <w:rPr>
          <w:b/>
          <w:sz w:val="28"/>
          <w:szCs w:val="28"/>
        </w:rPr>
      </w:pPr>
      <w:r>
        <w:rPr>
          <w:b/>
          <w:sz w:val="28"/>
          <w:szCs w:val="28"/>
        </w:rPr>
        <w:br w:type="page"/>
      </w:r>
      <w:r>
        <w:lastRenderedPageBreak/>
        <w:t xml:space="preserve"> </w:t>
      </w:r>
      <w:r w:rsidRPr="0010288A">
        <w:rPr>
          <w:b/>
          <w:sz w:val="28"/>
          <w:szCs w:val="28"/>
        </w:rPr>
        <w:t xml:space="preserve">Section </w:t>
      </w:r>
      <w:r w:rsidR="00BD6814">
        <w:rPr>
          <w:b/>
          <w:sz w:val="28"/>
          <w:szCs w:val="28"/>
        </w:rPr>
        <w:t>4</w:t>
      </w:r>
      <w:r w:rsidRPr="0010288A">
        <w:rPr>
          <w:b/>
          <w:sz w:val="28"/>
          <w:szCs w:val="28"/>
        </w:rPr>
        <w:t xml:space="preserve">: Supporting learners who </w:t>
      </w:r>
      <w:r>
        <w:rPr>
          <w:b/>
          <w:sz w:val="28"/>
          <w:szCs w:val="28"/>
        </w:rPr>
        <w:t>are older than</w:t>
      </w:r>
      <w:r w:rsidRPr="0010288A">
        <w:rPr>
          <w:b/>
          <w:sz w:val="28"/>
          <w:szCs w:val="28"/>
        </w:rPr>
        <w:t xml:space="preserve"> 19</w:t>
      </w:r>
    </w:p>
    <w:p w14:paraId="20D24A09" w14:textId="77777777" w:rsidR="00A468C2" w:rsidRPr="0010288A" w:rsidRDefault="00A468C2" w:rsidP="007C1F93">
      <w:pPr>
        <w:rPr>
          <w:b/>
          <w:sz w:val="28"/>
          <w:szCs w:val="28"/>
        </w:rPr>
      </w:pPr>
    </w:p>
    <w:p w14:paraId="3D563485" w14:textId="50E7250F" w:rsidR="00A468C2" w:rsidRDefault="0077416F" w:rsidP="001C681D">
      <w:pPr>
        <w:pStyle w:val="ListParagraph"/>
        <w:numPr>
          <w:ilvl w:val="1"/>
          <w:numId w:val="36"/>
        </w:numPr>
        <w:rPr>
          <w:szCs w:val="24"/>
        </w:rPr>
      </w:pPr>
      <w:r>
        <w:rPr>
          <w:szCs w:val="24"/>
        </w:rPr>
        <w:t xml:space="preserve">Under the terms of the Adult Entitlement to Learning, from 2013/14 academic year the Skills Funding Agency (SFA) will provide full funding for learners who are at or over the age of 19 but less than 24 for their first full Level 3 qualification </w:t>
      </w:r>
      <w:r w:rsidR="007C1F93" w:rsidRPr="00A468C2">
        <w:rPr>
          <w:szCs w:val="24"/>
        </w:rPr>
        <w:t xml:space="preserve">Details of the Entitlement are available on the </w:t>
      </w:r>
      <w:r w:rsidR="003E1738">
        <w:rPr>
          <w:szCs w:val="24"/>
        </w:rPr>
        <w:t>Skills Funding Agency website</w:t>
      </w:r>
      <w:r w:rsidR="007C1F93" w:rsidRPr="0093544D">
        <w:rPr>
          <w:rStyle w:val="FootnoteReference"/>
          <w:szCs w:val="24"/>
        </w:rPr>
        <w:footnoteReference w:id="17"/>
      </w:r>
      <w:r w:rsidR="003E1738">
        <w:rPr>
          <w:szCs w:val="24"/>
        </w:rPr>
        <w:t>.</w:t>
      </w:r>
      <w:r w:rsidR="00A468C2" w:rsidRPr="00A468C2">
        <w:rPr>
          <w:szCs w:val="24"/>
        </w:rPr>
        <w:t xml:space="preserve"> </w:t>
      </w:r>
    </w:p>
    <w:p w14:paraId="6ED4F425" w14:textId="77777777" w:rsidR="00A468C2" w:rsidRDefault="00A468C2" w:rsidP="00A468C2">
      <w:pPr>
        <w:pStyle w:val="ListParagraph"/>
        <w:rPr>
          <w:szCs w:val="24"/>
        </w:rPr>
      </w:pPr>
    </w:p>
    <w:p w14:paraId="783C2A74" w14:textId="77777777" w:rsidR="00A468C2" w:rsidRDefault="007C1F93" w:rsidP="00A468C2">
      <w:pPr>
        <w:pStyle w:val="ListParagraph"/>
        <w:numPr>
          <w:ilvl w:val="1"/>
          <w:numId w:val="36"/>
        </w:numPr>
        <w:rPr>
          <w:szCs w:val="24"/>
        </w:rPr>
      </w:pPr>
      <w:r w:rsidRPr="00A468C2">
        <w:rPr>
          <w:szCs w:val="24"/>
        </w:rPr>
        <w:t xml:space="preserve">QCF qualifications are </w:t>
      </w:r>
      <w:r w:rsidR="00115892" w:rsidRPr="00A468C2">
        <w:rPr>
          <w:szCs w:val="24"/>
        </w:rPr>
        <w:t xml:space="preserve">assembled from smaller </w:t>
      </w:r>
      <w:r w:rsidRPr="00A468C2">
        <w:rPr>
          <w:szCs w:val="24"/>
        </w:rPr>
        <w:t xml:space="preserve">units, which are combined to build up complete qualifications. </w:t>
      </w:r>
      <w:r w:rsidR="00115892" w:rsidRPr="00A468C2">
        <w:rPr>
          <w:szCs w:val="24"/>
        </w:rPr>
        <w:t xml:space="preserve"> They do not permit synoptic</w:t>
      </w:r>
      <w:r w:rsidR="002732D4" w:rsidRPr="00A468C2">
        <w:rPr>
          <w:szCs w:val="24"/>
        </w:rPr>
        <w:t>,</w:t>
      </w:r>
      <w:r w:rsidR="00115892" w:rsidRPr="00A468C2">
        <w:rPr>
          <w:szCs w:val="24"/>
        </w:rPr>
        <w:t xml:space="preserve"> ‘overall’ assessment of the type that 16-19 qualifications w</w:t>
      </w:r>
      <w:r w:rsidR="00A468C2" w:rsidRPr="00A468C2">
        <w:rPr>
          <w:szCs w:val="24"/>
        </w:rPr>
        <w:t>ill be required to demonstrate.</w:t>
      </w:r>
      <w:r w:rsidR="00115892" w:rsidRPr="00A468C2">
        <w:rPr>
          <w:szCs w:val="24"/>
        </w:rPr>
        <w:t xml:space="preserve"> </w:t>
      </w:r>
      <w:r w:rsidRPr="00A468C2">
        <w:rPr>
          <w:szCs w:val="24"/>
        </w:rPr>
        <w:t xml:space="preserve">It is possible that some new qualifications counting </w:t>
      </w:r>
      <w:r w:rsidR="00A468C2" w:rsidRPr="00A468C2">
        <w:rPr>
          <w:szCs w:val="24"/>
        </w:rPr>
        <w:t>towards</w:t>
      </w:r>
      <w:r w:rsidR="00B24B6E" w:rsidRPr="00A468C2">
        <w:rPr>
          <w:szCs w:val="24"/>
        </w:rPr>
        <w:t xml:space="preserve"> </w:t>
      </w:r>
      <w:r w:rsidR="00115892" w:rsidRPr="00A468C2">
        <w:rPr>
          <w:szCs w:val="24"/>
        </w:rPr>
        <w:t xml:space="preserve">16-19 performance tables </w:t>
      </w:r>
      <w:r w:rsidRPr="00A468C2">
        <w:rPr>
          <w:szCs w:val="24"/>
        </w:rPr>
        <w:t xml:space="preserve">will </w:t>
      </w:r>
      <w:r w:rsidR="00115892" w:rsidRPr="00A468C2">
        <w:rPr>
          <w:szCs w:val="24"/>
        </w:rPr>
        <w:t xml:space="preserve">therefore </w:t>
      </w:r>
      <w:r w:rsidRPr="00A468C2">
        <w:rPr>
          <w:szCs w:val="24"/>
        </w:rPr>
        <w:t>not fit the design criteria of the QCF, and would not be eligible for funding through the Entitlement under current rules.</w:t>
      </w:r>
    </w:p>
    <w:p w14:paraId="1CBE3A72" w14:textId="77777777" w:rsidR="00A468C2" w:rsidRPr="00A468C2" w:rsidRDefault="00A468C2" w:rsidP="00A468C2">
      <w:pPr>
        <w:pStyle w:val="ListParagraph"/>
        <w:rPr>
          <w:szCs w:val="24"/>
        </w:rPr>
      </w:pPr>
    </w:p>
    <w:p w14:paraId="72F76B99" w14:textId="77777777" w:rsidR="00A468C2" w:rsidRDefault="007C1F93" w:rsidP="00A468C2">
      <w:pPr>
        <w:pStyle w:val="ListParagraph"/>
        <w:numPr>
          <w:ilvl w:val="1"/>
          <w:numId w:val="36"/>
        </w:numPr>
        <w:rPr>
          <w:szCs w:val="24"/>
        </w:rPr>
      </w:pPr>
      <w:r w:rsidRPr="00A468C2">
        <w:rPr>
          <w:szCs w:val="24"/>
        </w:rPr>
        <w:t xml:space="preserve">There may be circumstances where a qualification counting towards 16-19 performance tables may be the most appropriate for a particular learner who is 19 or over. This will particularly be the case with learners who are at the younger end of the age range or where business involvement with the qualification is particularly strong. </w:t>
      </w:r>
    </w:p>
    <w:p w14:paraId="0B6F3D65" w14:textId="77777777" w:rsidR="00A468C2" w:rsidRPr="00A468C2" w:rsidRDefault="00A468C2" w:rsidP="00A468C2">
      <w:pPr>
        <w:pStyle w:val="ListParagraph"/>
        <w:rPr>
          <w:szCs w:val="24"/>
        </w:rPr>
      </w:pPr>
    </w:p>
    <w:p w14:paraId="63E565E7" w14:textId="1C31F005" w:rsidR="00A468C2" w:rsidRDefault="007C1F93" w:rsidP="00A468C2">
      <w:pPr>
        <w:pStyle w:val="ListParagraph"/>
        <w:numPr>
          <w:ilvl w:val="1"/>
          <w:numId w:val="36"/>
        </w:numPr>
        <w:rPr>
          <w:szCs w:val="24"/>
        </w:rPr>
      </w:pPr>
      <w:r w:rsidRPr="00A468C2">
        <w:rPr>
          <w:szCs w:val="24"/>
        </w:rPr>
        <w:t xml:space="preserve">We are therefore proposing that </w:t>
      </w:r>
      <w:r w:rsidR="003E1738">
        <w:rPr>
          <w:szCs w:val="24"/>
        </w:rPr>
        <w:t>Occupational Qualifications</w:t>
      </w:r>
      <w:r w:rsidRPr="00A468C2">
        <w:rPr>
          <w:szCs w:val="24"/>
        </w:rPr>
        <w:t xml:space="preserve"> which count towards 16-19 performance tables should be approved for funding under the terms of the Adult Entitlement to Learning, whether or not they conform </w:t>
      </w:r>
      <w:r w:rsidR="000D4E62" w:rsidRPr="00A468C2">
        <w:rPr>
          <w:szCs w:val="24"/>
        </w:rPr>
        <w:t>to</w:t>
      </w:r>
      <w:r w:rsidRPr="00A468C2">
        <w:rPr>
          <w:szCs w:val="24"/>
        </w:rPr>
        <w:t xml:space="preserve"> the design principles of the QCF. </w:t>
      </w:r>
      <w:r w:rsidR="000D4E62" w:rsidRPr="00A468C2">
        <w:rPr>
          <w:szCs w:val="24"/>
        </w:rPr>
        <w:t>This would be in line with Key Stage 4 Performance Tables, where the Skills Funding Agency has confirmed that it will approve funding of vocational</w:t>
      </w:r>
      <w:r w:rsidR="000D4E62">
        <w:rPr>
          <w:szCs w:val="24"/>
        </w:rPr>
        <w:t xml:space="preserve"> qualifications irrespective of the </w:t>
      </w:r>
      <w:r w:rsidR="000D4E62" w:rsidRPr="00A468C2">
        <w:rPr>
          <w:szCs w:val="24"/>
        </w:rPr>
        <w:t xml:space="preserve">regulatory framework. </w:t>
      </w:r>
      <w:r w:rsidRPr="00A468C2">
        <w:rPr>
          <w:szCs w:val="24"/>
        </w:rPr>
        <w:t xml:space="preserve">We are also seeking views on whether any </w:t>
      </w:r>
      <w:r w:rsidR="003E1738">
        <w:rPr>
          <w:szCs w:val="24"/>
        </w:rPr>
        <w:t>Applied General Qualifications</w:t>
      </w:r>
      <w:r w:rsidRPr="00A468C2">
        <w:rPr>
          <w:szCs w:val="24"/>
        </w:rPr>
        <w:t xml:space="preserve"> are likely to be suitable for funding.</w:t>
      </w:r>
    </w:p>
    <w:p w14:paraId="2E071D68" w14:textId="77777777" w:rsidR="00A468C2" w:rsidRPr="00A468C2" w:rsidRDefault="00A468C2" w:rsidP="00A468C2">
      <w:pPr>
        <w:pStyle w:val="ListParagraph"/>
        <w:rPr>
          <w:szCs w:val="24"/>
        </w:rPr>
      </w:pPr>
    </w:p>
    <w:p w14:paraId="6DF45D4E" w14:textId="62279143" w:rsidR="007C1F93" w:rsidRPr="00A468C2" w:rsidRDefault="007C1F93" w:rsidP="00A468C2">
      <w:pPr>
        <w:pStyle w:val="ListParagraph"/>
        <w:numPr>
          <w:ilvl w:val="1"/>
          <w:numId w:val="36"/>
        </w:numPr>
        <w:rPr>
          <w:szCs w:val="24"/>
        </w:rPr>
      </w:pPr>
      <w:r w:rsidRPr="00A468C2">
        <w:rPr>
          <w:szCs w:val="24"/>
        </w:rPr>
        <w:t>Currently the Skills Funding Agency does not approve funding of qualifications linked to an employer’s statutory and/or legal responsibilities (with some specific exceptions for the unemployed). This includes qualifications linked to formal licence to practi</w:t>
      </w:r>
      <w:r w:rsidR="00CF5FB6">
        <w:rPr>
          <w:szCs w:val="24"/>
        </w:rPr>
        <w:t>s</w:t>
      </w:r>
      <w:r w:rsidRPr="00A468C2">
        <w:rPr>
          <w:szCs w:val="24"/>
        </w:rPr>
        <w:t xml:space="preserve">e. Therefore </w:t>
      </w:r>
      <w:r w:rsidR="003E1738">
        <w:rPr>
          <w:szCs w:val="24"/>
        </w:rPr>
        <w:t>Occupational Qualifications</w:t>
      </w:r>
      <w:r w:rsidRPr="00A468C2">
        <w:rPr>
          <w:szCs w:val="24"/>
        </w:rPr>
        <w:t xml:space="preserve"> which are linked to licence to practi</w:t>
      </w:r>
      <w:r w:rsidR="00CF5FB6">
        <w:rPr>
          <w:szCs w:val="24"/>
        </w:rPr>
        <w:t>s</w:t>
      </w:r>
      <w:r w:rsidRPr="00A468C2">
        <w:rPr>
          <w:szCs w:val="24"/>
        </w:rPr>
        <w:t>e would be excluded from public funding for learners who are older than 19. The Skills Funding Statement announced a review of the current policy around qualificati</w:t>
      </w:r>
      <w:r w:rsidR="00CF5FB6">
        <w:rPr>
          <w:szCs w:val="24"/>
        </w:rPr>
        <w:t>ons linked to licence to practis</w:t>
      </w:r>
      <w:r w:rsidRPr="00A468C2">
        <w:rPr>
          <w:szCs w:val="24"/>
        </w:rPr>
        <w:t>e and this review will be taken forward alongside this consultation.</w:t>
      </w:r>
    </w:p>
    <w:p w14:paraId="52AC68C1" w14:textId="77777777" w:rsidR="007C1F93" w:rsidRPr="00BF086B" w:rsidRDefault="007C1F93" w:rsidP="007C1F93">
      <w:pPr>
        <w:rPr>
          <w:b/>
          <w:szCs w:val="24"/>
        </w:rPr>
      </w:pPr>
    </w:p>
    <w:p w14:paraId="3B3B91D9" w14:textId="2CCBD873" w:rsidR="007C1F93" w:rsidRDefault="007C1F93" w:rsidP="00B942C0">
      <w:pPr>
        <w:pBdr>
          <w:top w:val="single" w:sz="4" w:space="1" w:color="auto"/>
          <w:left w:val="single" w:sz="4" w:space="1" w:color="auto"/>
          <w:bottom w:val="single" w:sz="4" w:space="1" w:color="auto"/>
          <w:right w:val="single" w:sz="4" w:space="1" w:color="auto"/>
        </w:pBdr>
        <w:spacing w:after="120"/>
        <w:ind w:left="720" w:hanging="720"/>
      </w:pPr>
      <w:r w:rsidRPr="00B55CD0">
        <w:t>Q1</w:t>
      </w:r>
      <w:r w:rsidR="009D751A">
        <w:t>2</w:t>
      </w:r>
      <w:r w:rsidRPr="00B55CD0">
        <w:t>:</w:t>
      </w:r>
      <w:r w:rsidR="00D504A8" w:rsidRPr="00B942C0">
        <w:tab/>
      </w:r>
      <w:r w:rsidRPr="00B942C0">
        <w:t xml:space="preserve">Should the </w:t>
      </w:r>
      <w:r w:rsidR="003E1738">
        <w:t>Skills Funding Agency</w:t>
      </w:r>
      <w:r w:rsidRPr="00B942C0">
        <w:t xml:space="preserve"> approve the funding of </w:t>
      </w:r>
      <w:r w:rsidR="003E1738">
        <w:t>Occupational Qualifications</w:t>
      </w:r>
      <w:r w:rsidRPr="00B942C0">
        <w:t xml:space="preserve"> (irrespective of whether they are on the QCF) if a learner is over the age of 18 and under 25 and entitled to funding under the terms of the Adult Entitlement to Learning?</w:t>
      </w:r>
    </w:p>
    <w:p w14:paraId="1BE10DC7" w14:textId="3B1CE175" w:rsidR="00B55CD0" w:rsidRPr="00B55CD0" w:rsidRDefault="00B55CD0" w:rsidP="00B942C0">
      <w:pPr>
        <w:pBdr>
          <w:top w:val="single" w:sz="4" w:space="1" w:color="auto"/>
          <w:left w:val="single" w:sz="4" w:space="1" w:color="auto"/>
          <w:bottom w:val="single" w:sz="4" w:space="1" w:color="auto"/>
          <w:right w:val="single" w:sz="4" w:space="1" w:color="auto"/>
        </w:pBdr>
        <w:spacing w:after="120"/>
        <w:ind w:left="720" w:hanging="720"/>
      </w:pPr>
      <w:r w:rsidRPr="007F4308">
        <w:t>Q1</w:t>
      </w:r>
      <w:r w:rsidR="009D751A">
        <w:t>3</w:t>
      </w:r>
      <w:r w:rsidRPr="007F4308">
        <w:t>:</w:t>
      </w:r>
      <w:r w:rsidRPr="007F4308">
        <w:tab/>
        <w:t xml:space="preserve">Should the </w:t>
      </w:r>
      <w:r w:rsidR="003E1738">
        <w:t>Skills Funding Agency</w:t>
      </w:r>
      <w:r w:rsidRPr="007F4308">
        <w:t xml:space="preserve"> consider funding certain </w:t>
      </w:r>
      <w:r w:rsidR="003E1738">
        <w:t>Applied General Qualifications</w:t>
      </w:r>
      <w:r w:rsidRPr="007F4308">
        <w:t xml:space="preserve"> in the same way? If so, what criteria should be used to identify these?</w:t>
      </w:r>
    </w:p>
    <w:p w14:paraId="20D9EBFD" w14:textId="36313281" w:rsidR="007C1F93" w:rsidRDefault="007C1F93" w:rsidP="007C1F93">
      <w:pPr>
        <w:rPr>
          <w:b/>
          <w:sz w:val="28"/>
          <w:szCs w:val="28"/>
        </w:rPr>
      </w:pPr>
      <w:r>
        <w:rPr>
          <w:b/>
          <w:sz w:val="28"/>
          <w:szCs w:val="28"/>
        </w:rPr>
        <w:br w:type="page"/>
      </w:r>
      <w:r>
        <w:rPr>
          <w:b/>
          <w:sz w:val="28"/>
          <w:szCs w:val="28"/>
        </w:rPr>
        <w:lastRenderedPageBreak/>
        <w:t xml:space="preserve">Section </w:t>
      </w:r>
      <w:r w:rsidR="00BD6814">
        <w:rPr>
          <w:b/>
          <w:sz w:val="28"/>
          <w:szCs w:val="28"/>
        </w:rPr>
        <w:t>5</w:t>
      </w:r>
      <w:r>
        <w:rPr>
          <w:b/>
          <w:sz w:val="28"/>
          <w:szCs w:val="28"/>
        </w:rPr>
        <w:t xml:space="preserve">: </w:t>
      </w:r>
      <w:r w:rsidRPr="00410289">
        <w:rPr>
          <w:b/>
          <w:sz w:val="28"/>
          <w:szCs w:val="28"/>
        </w:rPr>
        <w:t>Timing</w:t>
      </w:r>
    </w:p>
    <w:p w14:paraId="633EFDF5" w14:textId="77777777" w:rsidR="007C1F93" w:rsidRPr="0028522D" w:rsidRDefault="007C1F93" w:rsidP="007C1F93">
      <w:pPr>
        <w:rPr>
          <w:szCs w:val="24"/>
        </w:rPr>
      </w:pPr>
    </w:p>
    <w:p w14:paraId="5EFD50CA" w14:textId="1A133E02" w:rsidR="009A4D6F" w:rsidRDefault="007C1F93" w:rsidP="007C1F93">
      <w:pPr>
        <w:numPr>
          <w:ilvl w:val="0"/>
          <w:numId w:val="6"/>
        </w:numPr>
        <w:tabs>
          <w:tab w:val="left" w:pos="720"/>
        </w:tabs>
        <w:overflowPunct w:val="0"/>
        <w:autoSpaceDE w:val="0"/>
        <w:autoSpaceDN w:val="0"/>
        <w:ind w:left="709" w:hanging="709"/>
        <w:rPr>
          <w:szCs w:val="24"/>
        </w:rPr>
      </w:pPr>
      <w:r w:rsidRPr="007A77B2">
        <w:rPr>
          <w:szCs w:val="24"/>
        </w:rPr>
        <w:t>Given that some qualifications may require substantial redevelopment in order to achieve the full range of characteristics</w:t>
      </w:r>
      <w:r>
        <w:rPr>
          <w:szCs w:val="24"/>
        </w:rPr>
        <w:t xml:space="preserve"> set out above</w:t>
      </w:r>
      <w:r w:rsidRPr="007A77B2">
        <w:rPr>
          <w:szCs w:val="24"/>
        </w:rPr>
        <w:t xml:space="preserve">, we plan to introduce </w:t>
      </w:r>
      <w:r>
        <w:rPr>
          <w:szCs w:val="24"/>
        </w:rPr>
        <w:t>a lower ‘interim’</w:t>
      </w:r>
      <w:r w:rsidRPr="007A77B2">
        <w:rPr>
          <w:szCs w:val="24"/>
        </w:rPr>
        <w:t xml:space="preserve"> standard for a ‘grace period’ </w:t>
      </w:r>
      <w:r>
        <w:rPr>
          <w:szCs w:val="24"/>
        </w:rPr>
        <w:t xml:space="preserve">of two years.  This would </w:t>
      </w:r>
      <w:r w:rsidRPr="007A77B2">
        <w:rPr>
          <w:szCs w:val="24"/>
        </w:rPr>
        <w:t xml:space="preserve">provide </w:t>
      </w:r>
      <w:r>
        <w:rPr>
          <w:szCs w:val="24"/>
        </w:rPr>
        <w:t>a</w:t>
      </w:r>
      <w:r w:rsidRPr="007A77B2">
        <w:rPr>
          <w:szCs w:val="24"/>
        </w:rPr>
        <w:t xml:space="preserve">warding </w:t>
      </w:r>
      <w:r>
        <w:rPr>
          <w:szCs w:val="24"/>
        </w:rPr>
        <w:t>o</w:t>
      </w:r>
      <w:r w:rsidRPr="007A77B2">
        <w:rPr>
          <w:szCs w:val="24"/>
        </w:rPr>
        <w:t>rganisations time to work with employers</w:t>
      </w:r>
      <w:r w:rsidR="004F2CAB">
        <w:rPr>
          <w:szCs w:val="24"/>
        </w:rPr>
        <w:t xml:space="preserve"> and professional and trade bodies</w:t>
      </w:r>
      <w:r w:rsidRPr="007A77B2">
        <w:rPr>
          <w:szCs w:val="24"/>
        </w:rPr>
        <w:t xml:space="preserve"> to redevelop qualifications</w:t>
      </w:r>
      <w:r>
        <w:rPr>
          <w:szCs w:val="24"/>
        </w:rPr>
        <w:t xml:space="preserve"> which meet the full standard. </w:t>
      </w:r>
    </w:p>
    <w:p w14:paraId="2D4CC157" w14:textId="77777777" w:rsidR="009A4D6F" w:rsidRDefault="009A4D6F" w:rsidP="001C681D">
      <w:pPr>
        <w:tabs>
          <w:tab w:val="left" w:pos="720"/>
        </w:tabs>
        <w:overflowPunct w:val="0"/>
        <w:autoSpaceDE w:val="0"/>
        <w:autoSpaceDN w:val="0"/>
        <w:ind w:left="709"/>
        <w:rPr>
          <w:szCs w:val="24"/>
        </w:rPr>
      </w:pPr>
    </w:p>
    <w:p w14:paraId="02A190ED" w14:textId="250F7EC0" w:rsidR="007C1F93" w:rsidRPr="00054A48" w:rsidRDefault="007C1F93" w:rsidP="007C1F93">
      <w:pPr>
        <w:numPr>
          <w:ilvl w:val="0"/>
          <w:numId w:val="6"/>
        </w:numPr>
        <w:tabs>
          <w:tab w:val="left" w:pos="720"/>
        </w:tabs>
        <w:overflowPunct w:val="0"/>
        <w:autoSpaceDE w:val="0"/>
        <w:autoSpaceDN w:val="0"/>
        <w:ind w:left="709" w:hanging="709"/>
        <w:rPr>
          <w:szCs w:val="24"/>
        </w:rPr>
      </w:pPr>
      <w:r>
        <w:rPr>
          <w:szCs w:val="24"/>
        </w:rPr>
        <w:t>Qualifications which d</w:t>
      </w:r>
      <w:r w:rsidR="009A4D6F">
        <w:rPr>
          <w:szCs w:val="24"/>
        </w:rPr>
        <w:t>o</w:t>
      </w:r>
      <w:r>
        <w:rPr>
          <w:szCs w:val="24"/>
        </w:rPr>
        <w:t xml:space="preserve"> not meet the </w:t>
      </w:r>
      <w:r w:rsidR="009A4D6F">
        <w:rPr>
          <w:szCs w:val="24"/>
        </w:rPr>
        <w:t xml:space="preserve">interim </w:t>
      </w:r>
      <w:r>
        <w:rPr>
          <w:szCs w:val="24"/>
        </w:rPr>
        <w:t xml:space="preserve">standard would be excluded from </w:t>
      </w:r>
      <w:r w:rsidR="004E7AA0">
        <w:rPr>
          <w:szCs w:val="24"/>
        </w:rPr>
        <w:t xml:space="preserve">future </w:t>
      </w:r>
      <w:r>
        <w:rPr>
          <w:szCs w:val="24"/>
        </w:rPr>
        <w:t>performance tables</w:t>
      </w:r>
      <w:r w:rsidRPr="00054A48">
        <w:rPr>
          <w:szCs w:val="24"/>
        </w:rPr>
        <w:t xml:space="preserve">. Awarding </w:t>
      </w:r>
      <w:r>
        <w:rPr>
          <w:szCs w:val="24"/>
        </w:rPr>
        <w:t>o</w:t>
      </w:r>
      <w:r w:rsidRPr="00054A48">
        <w:rPr>
          <w:szCs w:val="24"/>
        </w:rPr>
        <w:t>rganisations will be required to submit evidence as follows:</w:t>
      </w:r>
    </w:p>
    <w:p w14:paraId="0B417D50" w14:textId="77777777" w:rsidR="007C1F93" w:rsidRDefault="007C1F93" w:rsidP="007C1F93">
      <w:pPr>
        <w:tabs>
          <w:tab w:val="left" w:pos="72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2631"/>
        <w:gridCol w:w="2698"/>
      </w:tblGrid>
      <w:tr w:rsidR="007C1F93" w:rsidRPr="00FC4B69" w14:paraId="59766DB9" w14:textId="77777777" w:rsidTr="00D823B7">
        <w:tc>
          <w:tcPr>
            <w:tcW w:w="4219" w:type="dxa"/>
            <w:tcBorders>
              <w:bottom w:val="single" w:sz="4" w:space="0" w:color="auto"/>
            </w:tcBorders>
            <w:shd w:val="clear" w:color="auto" w:fill="FFFFFF"/>
          </w:tcPr>
          <w:p w14:paraId="6A7115CB" w14:textId="77777777" w:rsidR="007C1F93" w:rsidRPr="00FC4B69" w:rsidRDefault="007C1F93" w:rsidP="00D823B7">
            <w:pPr>
              <w:tabs>
                <w:tab w:val="left" w:pos="720"/>
              </w:tabs>
              <w:spacing w:after="120"/>
              <w:ind w:left="709"/>
              <w:rPr>
                <w:b/>
                <w:sz w:val="22"/>
                <w:szCs w:val="22"/>
              </w:rPr>
            </w:pPr>
          </w:p>
        </w:tc>
        <w:tc>
          <w:tcPr>
            <w:tcW w:w="2835" w:type="dxa"/>
            <w:tcBorders>
              <w:bottom w:val="single" w:sz="4" w:space="0" w:color="auto"/>
            </w:tcBorders>
            <w:shd w:val="clear" w:color="auto" w:fill="FFFFFF"/>
          </w:tcPr>
          <w:p w14:paraId="0F5DF245" w14:textId="77777777" w:rsidR="007C1F93" w:rsidRPr="0026452E" w:rsidRDefault="007C1F93" w:rsidP="00D823B7">
            <w:pPr>
              <w:tabs>
                <w:tab w:val="left" w:pos="720"/>
              </w:tabs>
              <w:spacing w:after="120"/>
              <w:rPr>
                <w:b/>
                <w:sz w:val="22"/>
                <w:szCs w:val="22"/>
              </w:rPr>
            </w:pPr>
            <w:r>
              <w:rPr>
                <w:b/>
                <w:sz w:val="22"/>
                <w:szCs w:val="22"/>
              </w:rPr>
              <w:t>Interim</w:t>
            </w:r>
          </w:p>
          <w:p w14:paraId="2223E9FB" w14:textId="77777777" w:rsidR="007C1F93" w:rsidRPr="0026452E" w:rsidRDefault="007C1F93" w:rsidP="00D823B7">
            <w:pPr>
              <w:tabs>
                <w:tab w:val="left" w:pos="720"/>
              </w:tabs>
              <w:spacing w:after="120"/>
              <w:rPr>
                <w:sz w:val="22"/>
                <w:szCs w:val="22"/>
              </w:rPr>
            </w:pPr>
            <w:r w:rsidRPr="0026452E">
              <w:rPr>
                <w:sz w:val="22"/>
                <w:szCs w:val="22"/>
              </w:rPr>
              <w:t xml:space="preserve">(applicable to qualifications counting in 2016 </w:t>
            </w:r>
            <w:r>
              <w:rPr>
                <w:sz w:val="22"/>
                <w:szCs w:val="22"/>
              </w:rPr>
              <w:t>p</w:t>
            </w:r>
            <w:r w:rsidRPr="0026452E">
              <w:rPr>
                <w:sz w:val="22"/>
                <w:szCs w:val="22"/>
              </w:rPr>
              <w:t xml:space="preserve">erformance </w:t>
            </w:r>
            <w:r>
              <w:rPr>
                <w:sz w:val="22"/>
                <w:szCs w:val="22"/>
              </w:rPr>
              <w:t>t</w:t>
            </w:r>
            <w:r w:rsidRPr="0026452E">
              <w:rPr>
                <w:sz w:val="22"/>
                <w:szCs w:val="22"/>
              </w:rPr>
              <w:t>ables)</w:t>
            </w:r>
          </w:p>
        </w:tc>
        <w:tc>
          <w:tcPr>
            <w:tcW w:w="2914" w:type="dxa"/>
            <w:tcBorders>
              <w:bottom w:val="single" w:sz="4" w:space="0" w:color="auto"/>
            </w:tcBorders>
            <w:shd w:val="clear" w:color="auto" w:fill="FFFFFF"/>
          </w:tcPr>
          <w:p w14:paraId="56D3FC67" w14:textId="77777777" w:rsidR="007C1F93" w:rsidRPr="0026452E" w:rsidRDefault="007C1F93" w:rsidP="00D823B7">
            <w:pPr>
              <w:tabs>
                <w:tab w:val="left" w:pos="720"/>
              </w:tabs>
              <w:spacing w:after="120"/>
              <w:rPr>
                <w:b/>
                <w:sz w:val="22"/>
                <w:szCs w:val="22"/>
              </w:rPr>
            </w:pPr>
            <w:r w:rsidRPr="0026452E">
              <w:rPr>
                <w:b/>
                <w:sz w:val="22"/>
                <w:szCs w:val="22"/>
              </w:rPr>
              <w:t>Full</w:t>
            </w:r>
          </w:p>
          <w:p w14:paraId="1D86DA6E" w14:textId="77777777" w:rsidR="007C1F93" w:rsidRPr="0026452E" w:rsidRDefault="007C1F93" w:rsidP="00D823B7">
            <w:pPr>
              <w:tabs>
                <w:tab w:val="left" w:pos="720"/>
              </w:tabs>
              <w:spacing w:after="120"/>
              <w:rPr>
                <w:b/>
                <w:sz w:val="22"/>
                <w:szCs w:val="22"/>
              </w:rPr>
            </w:pPr>
            <w:r w:rsidRPr="0026452E">
              <w:rPr>
                <w:sz w:val="22"/>
                <w:szCs w:val="22"/>
              </w:rPr>
              <w:t xml:space="preserve">(applicable to qualifications counting in 2018 </w:t>
            </w:r>
            <w:r>
              <w:rPr>
                <w:sz w:val="22"/>
                <w:szCs w:val="22"/>
              </w:rPr>
              <w:t>performance t</w:t>
            </w:r>
            <w:r w:rsidRPr="0026452E">
              <w:rPr>
                <w:sz w:val="22"/>
                <w:szCs w:val="22"/>
              </w:rPr>
              <w:t>ables)</w:t>
            </w:r>
          </w:p>
        </w:tc>
      </w:tr>
      <w:tr w:rsidR="007C1F93" w:rsidRPr="00FC4B69" w14:paraId="016293E2" w14:textId="77777777" w:rsidTr="00D823B7">
        <w:tc>
          <w:tcPr>
            <w:tcW w:w="9968" w:type="dxa"/>
            <w:gridSpan w:val="3"/>
            <w:shd w:val="clear" w:color="auto" w:fill="D9D9D9"/>
          </w:tcPr>
          <w:p w14:paraId="2F5C4227" w14:textId="77777777" w:rsidR="007C1F93" w:rsidRPr="00FC4B69" w:rsidRDefault="007C1F93" w:rsidP="00D823B7">
            <w:pPr>
              <w:tabs>
                <w:tab w:val="left" w:pos="720"/>
              </w:tabs>
              <w:spacing w:after="120"/>
              <w:rPr>
                <w:sz w:val="22"/>
                <w:szCs w:val="22"/>
              </w:rPr>
            </w:pPr>
            <w:r w:rsidRPr="00FC4B69">
              <w:rPr>
                <w:b/>
                <w:sz w:val="22"/>
                <w:szCs w:val="22"/>
              </w:rPr>
              <w:t>Applied General Qualifications</w:t>
            </w:r>
          </w:p>
        </w:tc>
      </w:tr>
      <w:tr w:rsidR="007C1F93" w:rsidRPr="00FC4B69" w14:paraId="51C071CD" w14:textId="77777777" w:rsidTr="00D823B7">
        <w:tc>
          <w:tcPr>
            <w:tcW w:w="4219" w:type="dxa"/>
            <w:shd w:val="clear" w:color="auto" w:fill="auto"/>
          </w:tcPr>
          <w:p w14:paraId="3DD0040B" w14:textId="77777777" w:rsidR="007C1F93" w:rsidRPr="00FC4B69" w:rsidRDefault="007C1F93" w:rsidP="007C1F93">
            <w:pPr>
              <w:numPr>
                <w:ilvl w:val="0"/>
                <w:numId w:val="7"/>
              </w:numPr>
              <w:tabs>
                <w:tab w:val="left" w:pos="720"/>
              </w:tabs>
              <w:overflowPunct w:val="0"/>
              <w:autoSpaceDE w:val="0"/>
              <w:autoSpaceDN w:val="0"/>
              <w:spacing w:after="120"/>
              <w:rPr>
                <w:sz w:val="22"/>
                <w:szCs w:val="22"/>
              </w:rPr>
            </w:pPr>
            <w:r>
              <w:rPr>
                <w:sz w:val="22"/>
                <w:szCs w:val="22"/>
              </w:rPr>
              <w:t>S</w:t>
            </w:r>
            <w:r w:rsidRPr="00FC4B69">
              <w:rPr>
                <w:sz w:val="22"/>
                <w:szCs w:val="22"/>
              </w:rPr>
              <w:t>ize</w:t>
            </w:r>
          </w:p>
        </w:tc>
        <w:tc>
          <w:tcPr>
            <w:tcW w:w="2835" w:type="dxa"/>
            <w:shd w:val="clear" w:color="auto" w:fill="auto"/>
          </w:tcPr>
          <w:p w14:paraId="7037E3A6" w14:textId="77777777" w:rsidR="007C1F93" w:rsidRPr="00FC4B69" w:rsidRDefault="007C1F93" w:rsidP="00D823B7">
            <w:pPr>
              <w:tabs>
                <w:tab w:val="left" w:pos="720"/>
              </w:tabs>
              <w:spacing w:after="120"/>
              <w:rPr>
                <w:sz w:val="22"/>
                <w:szCs w:val="22"/>
              </w:rPr>
            </w:pPr>
            <w:r w:rsidRPr="00FC4B69">
              <w:rPr>
                <w:sz w:val="22"/>
                <w:szCs w:val="22"/>
              </w:rPr>
              <w:t>X</w:t>
            </w:r>
          </w:p>
        </w:tc>
        <w:tc>
          <w:tcPr>
            <w:tcW w:w="2914" w:type="dxa"/>
            <w:shd w:val="clear" w:color="auto" w:fill="auto"/>
          </w:tcPr>
          <w:p w14:paraId="2B2551D0" w14:textId="77777777" w:rsidR="007C1F93" w:rsidRPr="00FC4B69" w:rsidRDefault="007C1F93" w:rsidP="00D823B7">
            <w:pPr>
              <w:tabs>
                <w:tab w:val="left" w:pos="720"/>
              </w:tabs>
              <w:spacing w:after="120"/>
              <w:rPr>
                <w:sz w:val="22"/>
                <w:szCs w:val="22"/>
              </w:rPr>
            </w:pPr>
            <w:r w:rsidRPr="00FC4B69">
              <w:rPr>
                <w:sz w:val="22"/>
                <w:szCs w:val="22"/>
              </w:rPr>
              <w:t>X</w:t>
            </w:r>
          </w:p>
        </w:tc>
      </w:tr>
      <w:tr w:rsidR="007C1F93" w:rsidRPr="00FC4B69" w14:paraId="3FD26AD6" w14:textId="77777777" w:rsidTr="00D823B7">
        <w:tc>
          <w:tcPr>
            <w:tcW w:w="4219" w:type="dxa"/>
            <w:shd w:val="clear" w:color="auto" w:fill="auto"/>
          </w:tcPr>
          <w:p w14:paraId="5EDAAC1F" w14:textId="77777777" w:rsidR="007C1F93" w:rsidRPr="00FC4B69" w:rsidRDefault="007C1F93" w:rsidP="007C1F93">
            <w:pPr>
              <w:numPr>
                <w:ilvl w:val="0"/>
                <w:numId w:val="7"/>
              </w:numPr>
              <w:tabs>
                <w:tab w:val="left" w:pos="720"/>
              </w:tabs>
              <w:overflowPunct w:val="0"/>
              <w:autoSpaceDE w:val="0"/>
              <w:autoSpaceDN w:val="0"/>
              <w:spacing w:after="120"/>
              <w:rPr>
                <w:sz w:val="22"/>
                <w:szCs w:val="22"/>
              </w:rPr>
            </w:pPr>
            <w:r w:rsidRPr="00FC4B69">
              <w:rPr>
                <w:sz w:val="22"/>
                <w:szCs w:val="22"/>
              </w:rPr>
              <w:t>Grading</w:t>
            </w:r>
          </w:p>
        </w:tc>
        <w:tc>
          <w:tcPr>
            <w:tcW w:w="2835" w:type="dxa"/>
            <w:shd w:val="clear" w:color="auto" w:fill="auto"/>
          </w:tcPr>
          <w:p w14:paraId="060A1BA0" w14:textId="77777777" w:rsidR="007C1F93" w:rsidRPr="00FC4B69" w:rsidRDefault="007C1F93" w:rsidP="00D823B7">
            <w:pPr>
              <w:tabs>
                <w:tab w:val="left" w:pos="720"/>
              </w:tabs>
              <w:spacing w:after="120"/>
              <w:rPr>
                <w:sz w:val="22"/>
                <w:szCs w:val="22"/>
              </w:rPr>
            </w:pPr>
          </w:p>
        </w:tc>
        <w:tc>
          <w:tcPr>
            <w:tcW w:w="2914" w:type="dxa"/>
            <w:shd w:val="clear" w:color="auto" w:fill="auto"/>
          </w:tcPr>
          <w:p w14:paraId="4CD26DFD" w14:textId="77777777" w:rsidR="007C1F93" w:rsidRPr="00FC4B69" w:rsidRDefault="007C1F93" w:rsidP="00D823B7">
            <w:pPr>
              <w:tabs>
                <w:tab w:val="left" w:pos="720"/>
              </w:tabs>
              <w:spacing w:after="120"/>
              <w:rPr>
                <w:sz w:val="22"/>
                <w:szCs w:val="22"/>
              </w:rPr>
            </w:pPr>
            <w:r w:rsidRPr="00FC4B69">
              <w:rPr>
                <w:sz w:val="22"/>
                <w:szCs w:val="22"/>
              </w:rPr>
              <w:t>X</w:t>
            </w:r>
          </w:p>
        </w:tc>
      </w:tr>
      <w:tr w:rsidR="007C1F93" w:rsidRPr="00FC4B69" w14:paraId="348170D2" w14:textId="77777777" w:rsidTr="00D823B7">
        <w:tc>
          <w:tcPr>
            <w:tcW w:w="4219" w:type="dxa"/>
            <w:shd w:val="clear" w:color="auto" w:fill="auto"/>
          </w:tcPr>
          <w:p w14:paraId="06596B1D" w14:textId="77777777" w:rsidR="007C1F93" w:rsidRPr="00FC4B69" w:rsidRDefault="007C1F93" w:rsidP="007C1F93">
            <w:pPr>
              <w:numPr>
                <w:ilvl w:val="0"/>
                <w:numId w:val="7"/>
              </w:numPr>
              <w:tabs>
                <w:tab w:val="left" w:pos="720"/>
              </w:tabs>
              <w:overflowPunct w:val="0"/>
              <w:autoSpaceDE w:val="0"/>
              <w:autoSpaceDN w:val="0"/>
              <w:spacing w:after="120"/>
              <w:rPr>
                <w:sz w:val="22"/>
                <w:szCs w:val="22"/>
              </w:rPr>
            </w:pPr>
            <w:r>
              <w:rPr>
                <w:sz w:val="22"/>
                <w:szCs w:val="22"/>
              </w:rPr>
              <w:t>External a</w:t>
            </w:r>
            <w:r w:rsidRPr="00FC4B69">
              <w:rPr>
                <w:sz w:val="22"/>
                <w:szCs w:val="22"/>
              </w:rPr>
              <w:t>ssessment</w:t>
            </w:r>
          </w:p>
        </w:tc>
        <w:tc>
          <w:tcPr>
            <w:tcW w:w="2835" w:type="dxa"/>
            <w:shd w:val="clear" w:color="auto" w:fill="auto"/>
          </w:tcPr>
          <w:p w14:paraId="2F6EE312" w14:textId="77777777" w:rsidR="007C1F93" w:rsidRPr="00FC4B69" w:rsidRDefault="007C1F93" w:rsidP="00D823B7">
            <w:pPr>
              <w:tabs>
                <w:tab w:val="left" w:pos="720"/>
              </w:tabs>
              <w:spacing w:after="120"/>
              <w:rPr>
                <w:sz w:val="22"/>
                <w:szCs w:val="22"/>
              </w:rPr>
            </w:pPr>
          </w:p>
        </w:tc>
        <w:tc>
          <w:tcPr>
            <w:tcW w:w="2914" w:type="dxa"/>
            <w:shd w:val="clear" w:color="auto" w:fill="auto"/>
          </w:tcPr>
          <w:p w14:paraId="4C09F178" w14:textId="77777777" w:rsidR="007C1F93" w:rsidRPr="00FC4B69" w:rsidRDefault="007C1F93" w:rsidP="00D823B7">
            <w:pPr>
              <w:tabs>
                <w:tab w:val="left" w:pos="720"/>
              </w:tabs>
              <w:spacing w:after="120"/>
              <w:rPr>
                <w:sz w:val="22"/>
                <w:szCs w:val="22"/>
              </w:rPr>
            </w:pPr>
            <w:r w:rsidRPr="00FC4B69">
              <w:rPr>
                <w:sz w:val="22"/>
                <w:szCs w:val="22"/>
              </w:rPr>
              <w:t>X</w:t>
            </w:r>
          </w:p>
        </w:tc>
      </w:tr>
      <w:tr w:rsidR="007C1F93" w:rsidRPr="00FC4B69" w14:paraId="7291DB2A" w14:textId="77777777" w:rsidTr="00D823B7">
        <w:tc>
          <w:tcPr>
            <w:tcW w:w="4219" w:type="dxa"/>
            <w:shd w:val="clear" w:color="auto" w:fill="auto"/>
          </w:tcPr>
          <w:p w14:paraId="64D1F52A" w14:textId="77777777" w:rsidR="007C1F93" w:rsidRDefault="007C1F93" w:rsidP="007C1F93">
            <w:pPr>
              <w:numPr>
                <w:ilvl w:val="0"/>
                <w:numId w:val="7"/>
              </w:numPr>
              <w:tabs>
                <w:tab w:val="left" w:pos="720"/>
              </w:tabs>
              <w:overflowPunct w:val="0"/>
              <w:autoSpaceDE w:val="0"/>
              <w:autoSpaceDN w:val="0"/>
              <w:spacing w:after="120"/>
              <w:rPr>
                <w:sz w:val="22"/>
                <w:szCs w:val="22"/>
              </w:rPr>
            </w:pPr>
            <w:r>
              <w:rPr>
                <w:sz w:val="22"/>
                <w:szCs w:val="22"/>
              </w:rPr>
              <w:t>Synoptic assessment</w:t>
            </w:r>
          </w:p>
        </w:tc>
        <w:tc>
          <w:tcPr>
            <w:tcW w:w="2835" w:type="dxa"/>
            <w:shd w:val="clear" w:color="auto" w:fill="auto"/>
          </w:tcPr>
          <w:p w14:paraId="65B73408" w14:textId="77777777" w:rsidR="007C1F93" w:rsidRPr="00FC4B69" w:rsidRDefault="007C1F93" w:rsidP="00D823B7">
            <w:pPr>
              <w:tabs>
                <w:tab w:val="left" w:pos="720"/>
              </w:tabs>
              <w:spacing w:after="120"/>
              <w:rPr>
                <w:sz w:val="22"/>
                <w:szCs w:val="22"/>
              </w:rPr>
            </w:pPr>
          </w:p>
        </w:tc>
        <w:tc>
          <w:tcPr>
            <w:tcW w:w="2914" w:type="dxa"/>
            <w:shd w:val="clear" w:color="auto" w:fill="auto"/>
          </w:tcPr>
          <w:p w14:paraId="405406B3" w14:textId="77777777" w:rsidR="007C1F93" w:rsidRPr="00FC4B69" w:rsidRDefault="007C1F93" w:rsidP="00D823B7">
            <w:pPr>
              <w:tabs>
                <w:tab w:val="left" w:pos="720"/>
              </w:tabs>
              <w:spacing w:after="120"/>
              <w:rPr>
                <w:sz w:val="22"/>
                <w:szCs w:val="22"/>
              </w:rPr>
            </w:pPr>
            <w:r>
              <w:rPr>
                <w:sz w:val="22"/>
                <w:szCs w:val="22"/>
              </w:rPr>
              <w:t>X</w:t>
            </w:r>
          </w:p>
        </w:tc>
      </w:tr>
      <w:tr w:rsidR="007C1F93" w:rsidRPr="00FC4B69" w14:paraId="0DBAAD6B" w14:textId="77777777" w:rsidTr="00D823B7">
        <w:tc>
          <w:tcPr>
            <w:tcW w:w="4219" w:type="dxa"/>
            <w:shd w:val="clear" w:color="auto" w:fill="auto"/>
          </w:tcPr>
          <w:p w14:paraId="6091C7CD" w14:textId="77777777" w:rsidR="007C1F93" w:rsidRDefault="007C1F93" w:rsidP="007C1F93">
            <w:pPr>
              <w:numPr>
                <w:ilvl w:val="0"/>
                <w:numId w:val="7"/>
              </w:numPr>
              <w:tabs>
                <w:tab w:val="left" w:pos="720"/>
              </w:tabs>
              <w:overflowPunct w:val="0"/>
              <w:autoSpaceDE w:val="0"/>
              <w:autoSpaceDN w:val="0"/>
              <w:spacing w:after="120"/>
              <w:rPr>
                <w:sz w:val="22"/>
                <w:szCs w:val="22"/>
              </w:rPr>
            </w:pPr>
            <w:r>
              <w:rPr>
                <w:sz w:val="22"/>
                <w:szCs w:val="22"/>
              </w:rPr>
              <w:t>Appropriate content</w:t>
            </w:r>
          </w:p>
        </w:tc>
        <w:tc>
          <w:tcPr>
            <w:tcW w:w="2835" w:type="dxa"/>
            <w:shd w:val="clear" w:color="auto" w:fill="auto"/>
          </w:tcPr>
          <w:p w14:paraId="53AAF2BE" w14:textId="77777777" w:rsidR="007C1F93" w:rsidRPr="00FC4B69" w:rsidRDefault="007C1F93" w:rsidP="00D823B7">
            <w:pPr>
              <w:tabs>
                <w:tab w:val="left" w:pos="720"/>
              </w:tabs>
              <w:spacing w:after="120"/>
              <w:rPr>
                <w:sz w:val="22"/>
                <w:szCs w:val="22"/>
              </w:rPr>
            </w:pPr>
            <w:r>
              <w:rPr>
                <w:sz w:val="22"/>
                <w:szCs w:val="22"/>
              </w:rPr>
              <w:t>X</w:t>
            </w:r>
          </w:p>
        </w:tc>
        <w:tc>
          <w:tcPr>
            <w:tcW w:w="2914" w:type="dxa"/>
            <w:shd w:val="clear" w:color="auto" w:fill="auto"/>
          </w:tcPr>
          <w:p w14:paraId="602F32BF" w14:textId="77777777" w:rsidR="007C1F93" w:rsidRDefault="007C1F93" w:rsidP="00D823B7">
            <w:pPr>
              <w:tabs>
                <w:tab w:val="left" w:pos="720"/>
              </w:tabs>
              <w:spacing w:after="120"/>
              <w:rPr>
                <w:sz w:val="22"/>
                <w:szCs w:val="22"/>
              </w:rPr>
            </w:pPr>
            <w:r>
              <w:rPr>
                <w:sz w:val="22"/>
                <w:szCs w:val="22"/>
              </w:rPr>
              <w:t>X</w:t>
            </w:r>
          </w:p>
        </w:tc>
      </w:tr>
      <w:tr w:rsidR="007C1F93" w:rsidRPr="00FC4B69" w14:paraId="6712513B" w14:textId="77777777" w:rsidTr="00D823B7">
        <w:tc>
          <w:tcPr>
            <w:tcW w:w="4219" w:type="dxa"/>
            <w:shd w:val="clear" w:color="auto" w:fill="auto"/>
          </w:tcPr>
          <w:p w14:paraId="4D9BA827" w14:textId="77777777" w:rsidR="007C1F93" w:rsidRPr="00FC4B69" w:rsidRDefault="007C1F93" w:rsidP="007C1F93">
            <w:pPr>
              <w:numPr>
                <w:ilvl w:val="0"/>
                <w:numId w:val="7"/>
              </w:numPr>
              <w:tabs>
                <w:tab w:val="left" w:pos="720"/>
              </w:tabs>
              <w:overflowPunct w:val="0"/>
              <w:autoSpaceDE w:val="0"/>
              <w:autoSpaceDN w:val="0"/>
              <w:spacing w:after="120"/>
              <w:rPr>
                <w:sz w:val="22"/>
                <w:szCs w:val="22"/>
              </w:rPr>
            </w:pPr>
            <w:r>
              <w:rPr>
                <w:sz w:val="22"/>
                <w:szCs w:val="22"/>
              </w:rPr>
              <w:t>Progression</w:t>
            </w:r>
          </w:p>
        </w:tc>
        <w:tc>
          <w:tcPr>
            <w:tcW w:w="2835" w:type="dxa"/>
            <w:shd w:val="clear" w:color="auto" w:fill="auto"/>
          </w:tcPr>
          <w:p w14:paraId="678EC88A" w14:textId="77777777" w:rsidR="007C1F93" w:rsidRPr="00FC4B69" w:rsidRDefault="007C1F93" w:rsidP="00D823B7">
            <w:pPr>
              <w:tabs>
                <w:tab w:val="left" w:pos="720"/>
              </w:tabs>
              <w:spacing w:after="120"/>
              <w:rPr>
                <w:sz w:val="22"/>
                <w:szCs w:val="22"/>
              </w:rPr>
            </w:pPr>
          </w:p>
        </w:tc>
        <w:tc>
          <w:tcPr>
            <w:tcW w:w="2914" w:type="dxa"/>
            <w:shd w:val="clear" w:color="auto" w:fill="auto"/>
          </w:tcPr>
          <w:p w14:paraId="6BB0574F" w14:textId="77777777" w:rsidR="007C1F93" w:rsidRPr="00FC4B69" w:rsidRDefault="007C1F93" w:rsidP="00D823B7">
            <w:pPr>
              <w:tabs>
                <w:tab w:val="left" w:pos="720"/>
              </w:tabs>
              <w:spacing w:after="120"/>
              <w:rPr>
                <w:sz w:val="22"/>
                <w:szCs w:val="22"/>
              </w:rPr>
            </w:pPr>
            <w:r w:rsidRPr="00FC4B69">
              <w:rPr>
                <w:sz w:val="22"/>
                <w:szCs w:val="22"/>
              </w:rPr>
              <w:t>X</w:t>
            </w:r>
          </w:p>
        </w:tc>
      </w:tr>
      <w:tr w:rsidR="007C1F93" w:rsidRPr="00FC4B69" w14:paraId="43F4C09C" w14:textId="77777777" w:rsidTr="00D823B7">
        <w:tc>
          <w:tcPr>
            <w:tcW w:w="4219" w:type="dxa"/>
            <w:shd w:val="clear" w:color="auto" w:fill="auto"/>
          </w:tcPr>
          <w:p w14:paraId="44C3350D" w14:textId="77777777" w:rsidR="007C1F93" w:rsidRPr="00FC4B69" w:rsidRDefault="007C1F93" w:rsidP="007C1F93">
            <w:pPr>
              <w:numPr>
                <w:ilvl w:val="0"/>
                <w:numId w:val="7"/>
              </w:numPr>
              <w:tabs>
                <w:tab w:val="left" w:pos="720"/>
              </w:tabs>
              <w:overflowPunct w:val="0"/>
              <w:autoSpaceDE w:val="0"/>
              <w:autoSpaceDN w:val="0"/>
              <w:spacing w:after="120"/>
              <w:rPr>
                <w:sz w:val="22"/>
                <w:szCs w:val="22"/>
              </w:rPr>
            </w:pPr>
            <w:r>
              <w:rPr>
                <w:sz w:val="22"/>
                <w:szCs w:val="22"/>
              </w:rPr>
              <w:t>Proven track record</w:t>
            </w:r>
          </w:p>
        </w:tc>
        <w:tc>
          <w:tcPr>
            <w:tcW w:w="2835" w:type="dxa"/>
            <w:shd w:val="clear" w:color="auto" w:fill="auto"/>
          </w:tcPr>
          <w:p w14:paraId="0FD70DCA" w14:textId="77777777" w:rsidR="007C1F93" w:rsidRPr="00FC4B69" w:rsidRDefault="007C1F93" w:rsidP="00D823B7">
            <w:pPr>
              <w:tabs>
                <w:tab w:val="left" w:pos="720"/>
              </w:tabs>
              <w:spacing w:after="120"/>
              <w:rPr>
                <w:sz w:val="22"/>
                <w:szCs w:val="22"/>
              </w:rPr>
            </w:pPr>
          </w:p>
        </w:tc>
        <w:tc>
          <w:tcPr>
            <w:tcW w:w="2914" w:type="dxa"/>
            <w:shd w:val="clear" w:color="auto" w:fill="auto"/>
          </w:tcPr>
          <w:p w14:paraId="4838BE99" w14:textId="77777777" w:rsidR="007C1F93" w:rsidRPr="00FC4B69" w:rsidRDefault="007C1F93" w:rsidP="00D823B7">
            <w:pPr>
              <w:tabs>
                <w:tab w:val="left" w:pos="720"/>
              </w:tabs>
              <w:spacing w:after="120"/>
              <w:rPr>
                <w:sz w:val="22"/>
                <w:szCs w:val="22"/>
              </w:rPr>
            </w:pPr>
            <w:r>
              <w:rPr>
                <w:sz w:val="22"/>
                <w:szCs w:val="22"/>
              </w:rPr>
              <w:t>X</w:t>
            </w:r>
          </w:p>
        </w:tc>
      </w:tr>
      <w:tr w:rsidR="007C1F93" w:rsidRPr="00FC4B69" w14:paraId="233DD75F" w14:textId="77777777" w:rsidTr="00D823B7">
        <w:tc>
          <w:tcPr>
            <w:tcW w:w="9968" w:type="dxa"/>
            <w:gridSpan w:val="3"/>
            <w:shd w:val="clear" w:color="auto" w:fill="D9D9D9"/>
          </w:tcPr>
          <w:p w14:paraId="1F8DF006" w14:textId="77777777" w:rsidR="007C1F93" w:rsidRPr="00FC4B69" w:rsidRDefault="007C1F93" w:rsidP="00D823B7">
            <w:pPr>
              <w:tabs>
                <w:tab w:val="left" w:pos="720"/>
              </w:tabs>
              <w:spacing w:after="120"/>
              <w:rPr>
                <w:b/>
                <w:sz w:val="22"/>
                <w:szCs w:val="22"/>
              </w:rPr>
            </w:pPr>
            <w:r>
              <w:rPr>
                <w:b/>
                <w:sz w:val="22"/>
                <w:szCs w:val="22"/>
              </w:rPr>
              <w:t>Occupational Qualifications</w:t>
            </w:r>
          </w:p>
        </w:tc>
      </w:tr>
      <w:tr w:rsidR="007C1F93" w:rsidRPr="00FC4B69" w14:paraId="47E27D61" w14:textId="77777777" w:rsidTr="00D823B7">
        <w:tc>
          <w:tcPr>
            <w:tcW w:w="4219" w:type="dxa"/>
            <w:shd w:val="clear" w:color="auto" w:fill="auto"/>
          </w:tcPr>
          <w:p w14:paraId="167C0C0A" w14:textId="77777777" w:rsidR="007C1F93" w:rsidRPr="00FC4B69" w:rsidRDefault="007C1F93" w:rsidP="007C1F93">
            <w:pPr>
              <w:numPr>
                <w:ilvl w:val="0"/>
                <w:numId w:val="8"/>
              </w:numPr>
              <w:tabs>
                <w:tab w:val="left" w:pos="720"/>
              </w:tabs>
              <w:overflowPunct w:val="0"/>
              <w:autoSpaceDE w:val="0"/>
              <w:autoSpaceDN w:val="0"/>
              <w:spacing w:after="120"/>
              <w:rPr>
                <w:sz w:val="22"/>
                <w:szCs w:val="22"/>
              </w:rPr>
            </w:pPr>
            <w:r>
              <w:rPr>
                <w:sz w:val="22"/>
                <w:szCs w:val="22"/>
              </w:rPr>
              <w:t>Size</w:t>
            </w:r>
          </w:p>
        </w:tc>
        <w:tc>
          <w:tcPr>
            <w:tcW w:w="2835" w:type="dxa"/>
            <w:shd w:val="clear" w:color="auto" w:fill="auto"/>
          </w:tcPr>
          <w:p w14:paraId="2FE69BC6" w14:textId="77777777" w:rsidR="007C1F93" w:rsidRPr="00FC4B69" w:rsidRDefault="007C1F93" w:rsidP="00D823B7">
            <w:pPr>
              <w:tabs>
                <w:tab w:val="left" w:pos="720"/>
              </w:tabs>
              <w:spacing w:after="120"/>
              <w:rPr>
                <w:sz w:val="22"/>
                <w:szCs w:val="22"/>
              </w:rPr>
            </w:pPr>
            <w:r w:rsidRPr="00FC4B69">
              <w:rPr>
                <w:sz w:val="22"/>
                <w:szCs w:val="22"/>
              </w:rPr>
              <w:t>X</w:t>
            </w:r>
          </w:p>
        </w:tc>
        <w:tc>
          <w:tcPr>
            <w:tcW w:w="2914" w:type="dxa"/>
            <w:shd w:val="clear" w:color="auto" w:fill="auto"/>
          </w:tcPr>
          <w:p w14:paraId="3CF2C0FD" w14:textId="77777777" w:rsidR="007C1F93" w:rsidRPr="00FC4B69" w:rsidRDefault="007C1F93" w:rsidP="00D823B7">
            <w:pPr>
              <w:tabs>
                <w:tab w:val="left" w:pos="720"/>
              </w:tabs>
              <w:spacing w:after="120"/>
              <w:rPr>
                <w:sz w:val="22"/>
                <w:szCs w:val="22"/>
              </w:rPr>
            </w:pPr>
            <w:r w:rsidRPr="00FC4B69">
              <w:rPr>
                <w:sz w:val="22"/>
                <w:szCs w:val="22"/>
              </w:rPr>
              <w:t>X</w:t>
            </w:r>
          </w:p>
        </w:tc>
      </w:tr>
      <w:tr w:rsidR="007C1F93" w:rsidRPr="00FC4B69" w14:paraId="17DC9C29" w14:textId="77777777" w:rsidTr="00D823B7">
        <w:tc>
          <w:tcPr>
            <w:tcW w:w="4219" w:type="dxa"/>
            <w:shd w:val="clear" w:color="auto" w:fill="auto"/>
          </w:tcPr>
          <w:p w14:paraId="56F0D96A" w14:textId="77777777" w:rsidR="007C1F93" w:rsidRPr="00FC4B69" w:rsidRDefault="007C1F93" w:rsidP="007C1F93">
            <w:pPr>
              <w:numPr>
                <w:ilvl w:val="0"/>
                <w:numId w:val="8"/>
              </w:numPr>
              <w:tabs>
                <w:tab w:val="left" w:pos="720"/>
              </w:tabs>
              <w:overflowPunct w:val="0"/>
              <w:autoSpaceDE w:val="0"/>
              <w:autoSpaceDN w:val="0"/>
              <w:spacing w:after="120"/>
              <w:rPr>
                <w:sz w:val="22"/>
                <w:szCs w:val="22"/>
              </w:rPr>
            </w:pPr>
            <w:r>
              <w:rPr>
                <w:sz w:val="22"/>
                <w:szCs w:val="22"/>
              </w:rPr>
              <w:t>Employer Endorsement</w:t>
            </w:r>
          </w:p>
        </w:tc>
        <w:tc>
          <w:tcPr>
            <w:tcW w:w="2835" w:type="dxa"/>
            <w:shd w:val="clear" w:color="auto" w:fill="auto"/>
          </w:tcPr>
          <w:p w14:paraId="70D195EA" w14:textId="77777777" w:rsidR="007C1F93" w:rsidRPr="00FC4B69" w:rsidRDefault="007C1F93" w:rsidP="00D823B7">
            <w:pPr>
              <w:tabs>
                <w:tab w:val="left" w:pos="720"/>
              </w:tabs>
              <w:spacing w:after="120"/>
              <w:rPr>
                <w:sz w:val="22"/>
                <w:szCs w:val="22"/>
              </w:rPr>
            </w:pPr>
            <w:r w:rsidRPr="00FC4B69">
              <w:rPr>
                <w:sz w:val="22"/>
                <w:szCs w:val="22"/>
              </w:rPr>
              <w:t>X</w:t>
            </w:r>
          </w:p>
        </w:tc>
        <w:tc>
          <w:tcPr>
            <w:tcW w:w="2914" w:type="dxa"/>
            <w:shd w:val="clear" w:color="auto" w:fill="auto"/>
          </w:tcPr>
          <w:p w14:paraId="33712D1E" w14:textId="77777777" w:rsidR="007C1F93" w:rsidRPr="00FC4B69" w:rsidRDefault="007C1F93" w:rsidP="00D823B7">
            <w:pPr>
              <w:tabs>
                <w:tab w:val="left" w:pos="720"/>
              </w:tabs>
              <w:spacing w:after="120"/>
              <w:rPr>
                <w:sz w:val="22"/>
                <w:szCs w:val="22"/>
              </w:rPr>
            </w:pPr>
            <w:r w:rsidRPr="00FC4B69">
              <w:rPr>
                <w:sz w:val="22"/>
                <w:szCs w:val="22"/>
              </w:rPr>
              <w:t>X</w:t>
            </w:r>
          </w:p>
        </w:tc>
      </w:tr>
      <w:tr w:rsidR="007C1F93" w:rsidRPr="00FC4B69" w14:paraId="40322ABA" w14:textId="77777777" w:rsidTr="00D823B7">
        <w:trPr>
          <w:trHeight w:val="456"/>
        </w:trPr>
        <w:tc>
          <w:tcPr>
            <w:tcW w:w="4219" w:type="dxa"/>
            <w:shd w:val="clear" w:color="auto" w:fill="auto"/>
          </w:tcPr>
          <w:p w14:paraId="055F9695" w14:textId="77777777" w:rsidR="007C1F93" w:rsidRPr="00FC4B69" w:rsidRDefault="007C1F93" w:rsidP="007C1F93">
            <w:pPr>
              <w:numPr>
                <w:ilvl w:val="0"/>
                <w:numId w:val="8"/>
              </w:numPr>
              <w:tabs>
                <w:tab w:val="left" w:pos="720"/>
              </w:tabs>
              <w:overflowPunct w:val="0"/>
              <w:autoSpaceDE w:val="0"/>
              <w:autoSpaceDN w:val="0"/>
              <w:spacing w:after="120"/>
              <w:rPr>
                <w:sz w:val="22"/>
                <w:szCs w:val="22"/>
              </w:rPr>
            </w:pPr>
            <w:r>
              <w:rPr>
                <w:sz w:val="22"/>
                <w:szCs w:val="22"/>
              </w:rPr>
              <w:t>Assessment</w:t>
            </w:r>
          </w:p>
        </w:tc>
        <w:tc>
          <w:tcPr>
            <w:tcW w:w="2835" w:type="dxa"/>
            <w:shd w:val="clear" w:color="auto" w:fill="auto"/>
          </w:tcPr>
          <w:p w14:paraId="3F2082C2" w14:textId="77777777" w:rsidR="007C1F93" w:rsidRPr="00FC4B69" w:rsidRDefault="007C1F93" w:rsidP="00D823B7">
            <w:pPr>
              <w:tabs>
                <w:tab w:val="left" w:pos="720"/>
              </w:tabs>
              <w:spacing w:after="120"/>
              <w:rPr>
                <w:sz w:val="22"/>
                <w:szCs w:val="22"/>
              </w:rPr>
            </w:pPr>
          </w:p>
        </w:tc>
        <w:tc>
          <w:tcPr>
            <w:tcW w:w="2914" w:type="dxa"/>
            <w:shd w:val="clear" w:color="auto" w:fill="auto"/>
          </w:tcPr>
          <w:p w14:paraId="5D4521E5" w14:textId="77777777" w:rsidR="007C1F93" w:rsidRPr="00FC4B69" w:rsidRDefault="007C1F93" w:rsidP="00D823B7">
            <w:pPr>
              <w:tabs>
                <w:tab w:val="left" w:pos="720"/>
              </w:tabs>
              <w:spacing w:after="120"/>
              <w:rPr>
                <w:sz w:val="22"/>
                <w:szCs w:val="22"/>
              </w:rPr>
            </w:pPr>
            <w:r w:rsidRPr="00FC4B69">
              <w:rPr>
                <w:sz w:val="22"/>
                <w:szCs w:val="22"/>
              </w:rPr>
              <w:t>X</w:t>
            </w:r>
          </w:p>
        </w:tc>
      </w:tr>
      <w:tr w:rsidR="007C1F93" w:rsidRPr="00FC4B69" w14:paraId="6B007E83" w14:textId="77777777" w:rsidTr="00D823B7">
        <w:tc>
          <w:tcPr>
            <w:tcW w:w="4219" w:type="dxa"/>
            <w:shd w:val="clear" w:color="auto" w:fill="auto"/>
          </w:tcPr>
          <w:p w14:paraId="5F9E07EC" w14:textId="77777777" w:rsidR="007C1F93" w:rsidRPr="00FC4B69" w:rsidDel="00CA4746" w:rsidRDefault="007C1F93" w:rsidP="007C1F93">
            <w:pPr>
              <w:numPr>
                <w:ilvl w:val="0"/>
                <w:numId w:val="8"/>
              </w:numPr>
              <w:tabs>
                <w:tab w:val="left" w:pos="720"/>
              </w:tabs>
              <w:overflowPunct w:val="0"/>
              <w:autoSpaceDE w:val="0"/>
              <w:autoSpaceDN w:val="0"/>
              <w:spacing w:after="120"/>
              <w:rPr>
                <w:sz w:val="22"/>
                <w:szCs w:val="22"/>
              </w:rPr>
            </w:pPr>
            <w:r>
              <w:rPr>
                <w:sz w:val="22"/>
                <w:szCs w:val="22"/>
              </w:rPr>
              <w:t>Progression</w:t>
            </w:r>
          </w:p>
        </w:tc>
        <w:tc>
          <w:tcPr>
            <w:tcW w:w="2835" w:type="dxa"/>
            <w:shd w:val="clear" w:color="auto" w:fill="auto"/>
          </w:tcPr>
          <w:p w14:paraId="4CA2C738" w14:textId="77777777" w:rsidR="007C1F93" w:rsidRPr="00FC4B69" w:rsidRDefault="007C1F93" w:rsidP="00D823B7">
            <w:pPr>
              <w:tabs>
                <w:tab w:val="left" w:pos="720"/>
              </w:tabs>
              <w:spacing w:after="120"/>
              <w:rPr>
                <w:sz w:val="22"/>
                <w:szCs w:val="22"/>
              </w:rPr>
            </w:pPr>
          </w:p>
        </w:tc>
        <w:tc>
          <w:tcPr>
            <w:tcW w:w="2914" w:type="dxa"/>
            <w:shd w:val="clear" w:color="auto" w:fill="auto"/>
          </w:tcPr>
          <w:p w14:paraId="1BC18B0F" w14:textId="77777777" w:rsidR="007C1F93" w:rsidRPr="00FC4B69" w:rsidRDefault="007C1F93" w:rsidP="00D823B7">
            <w:pPr>
              <w:tabs>
                <w:tab w:val="left" w:pos="720"/>
              </w:tabs>
              <w:spacing w:after="120"/>
              <w:rPr>
                <w:sz w:val="22"/>
                <w:szCs w:val="22"/>
              </w:rPr>
            </w:pPr>
            <w:r>
              <w:rPr>
                <w:sz w:val="22"/>
                <w:szCs w:val="22"/>
              </w:rPr>
              <w:t>X</w:t>
            </w:r>
          </w:p>
        </w:tc>
      </w:tr>
    </w:tbl>
    <w:p w14:paraId="0D024D0C" w14:textId="77777777" w:rsidR="007C1F93" w:rsidRPr="007A77B2" w:rsidRDefault="007C1F93" w:rsidP="007C1F93">
      <w:pPr>
        <w:tabs>
          <w:tab w:val="left" w:pos="720"/>
        </w:tabs>
        <w:rPr>
          <w:szCs w:val="24"/>
        </w:rPr>
      </w:pPr>
    </w:p>
    <w:p w14:paraId="2C527697" w14:textId="5BC5C6F8" w:rsidR="007C1F93" w:rsidRDefault="007C1F93" w:rsidP="007C1F93">
      <w:pPr>
        <w:numPr>
          <w:ilvl w:val="0"/>
          <w:numId w:val="6"/>
        </w:numPr>
        <w:tabs>
          <w:tab w:val="left" w:pos="720"/>
        </w:tabs>
        <w:overflowPunct w:val="0"/>
        <w:autoSpaceDE w:val="0"/>
        <w:autoSpaceDN w:val="0"/>
        <w:ind w:left="709" w:hanging="709"/>
        <w:rPr>
          <w:szCs w:val="24"/>
        </w:rPr>
      </w:pPr>
      <w:r w:rsidRPr="00970EF8">
        <w:rPr>
          <w:szCs w:val="24"/>
        </w:rPr>
        <w:t xml:space="preserve">When submitting qualifications for inclusion in the </w:t>
      </w:r>
      <w:r w:rsidR="004F2CAB">
        <w:rPr>
          <w:szCs w:val="24"/>
        </w:rPr>
        <w:t>p</w:t>
      </w:r>
      <w:r w:rsidRPr="00970EF8">
        <w:rPr>
          <w:szCs w:val="24"/>
        </w:rPr>
        <w:t xml:space="preserve">erformance </w:t>
      </w:r>
      <w:r w:rsidR="004F2CAB">
        <w:rPr>
          <w:szCs w:val="24"/>
        </w:rPr>
        <w:t>t</w:t>
      </w:r>
      <w:r w:rsidRPr="00970EF8">
        <w:rPr>
          <w:szCs w:val="24"/>
        </w:rPr>
        <w:t xml:space="preserve">ables, </w:t>
      </w:r>
      <w:r>
        <w:rPr>
          <w:szCs w:val="24"/>
        </w:rPr>
        <w:t>a</w:t>
      </w:r>
      <w:r w:rsidRPr="00970EF8">
        <w:rPr>
          <w:szCs w:val="24"/>
        </w:rPr>
        <w:t xml:space="preserve">warding </w:t>
      </w:r>
      <w:r>
        <w:rPr>
          <w:szCs w:val="24"/>
        </w:rPr>
        <w:t>o</w:t>
      </w:r>
      <w:r w:rsidRPr="00970EF8">
        <w:rPr>
          <w:szCs w:val="24"/>
        </w:rPr>
        <w:t xml:space="preserve">rganisations will be required to provide a written commitment stating how they plan to develop the qualification to meet the ‘full standard’ at a later date. </w:t>
      </w:r>
    </w:p>
    <w:p w14:paraId="729C3F4B" w14:textId="77777777" w:rsidR="007C1F93" w:rsidRDefault="007C1F93" w:rsidP="007C1F93">
      <w:pPr>
        <w:tabs>
          <w:tab w:val="left" w:pos="720"/>
        </w:tabs>
        <w:ind w:left="709"/>
        <w:rPr>
          <w:szCs w:val="24"/>
        </w:rPr>
      </w:pPr>
    </w:p>
    <w:p w14:paraId="6F35022D" w14:textId="34022979" w:rsidR="007C1F93" w:rsidRPr="00970EF8" w:rsidRDefault="007C1F93" w:rsidP="007C1F93">
      <w:pPr>
        <w:numPr>
          <w:ilvl w:val="0"/>
          <w:numId w:val="6"/>
        </w:numPr>
        <w:tabs>
          <w:tab w:val="left" w:pos="720"/>
        </w:tabs>
        <w:overflowPunct w:val="0"/>
        <w:autoSpaceDE w:val="0"/>
        <w:autoSpaceDN w:val="0"/>
        <w:ind w:left="709" w:hanging="709"/>
        <w:rPr>
          <w:szCs w:val="24"/>
        </w:rPr>
      </w:pPr>
      <w:r w:rsidRPr="00970EF8">
        <w:rPr>
          <w:szCs w:val="24"/>
          <w:lang w:val="en-US" w:eastAsia="en-GB"/>
        </w:rPr>
        <w:t>Ofqual is the regulator of qualifications, examinations and assessments in England. In</w:t>
      </w:r>
      <w:r w:rsidRPr="00970EF8">
        <w:rPr>
          <w:szCs w:val="24"/>
        </w:rPr>
        <w:t xml:space="preserve"> 2013, </w:t>
      </w:r>
      <w:r w:rsidR="003E1738">
        <w:rPr>
          <w:szCs w:val="24"/>
        </w:rPr>
        <w:t>the Department for Education</w:t>
      </w:r>
      <w:r w:rsidRPr="00970EF8">
        <w:rPr>
          <w:szCs w:val="24"/>
        </w:rPr>
        <w:t xml:space="preserve"> and Ofqual will review their respective roles in assessing how qualifications meet the required characteristics. Currently </w:t>
      </w:r>
      <w:r>
        <w:rPr>
          <w:szCs w:val="24"/>
        </w:rPr>
        <w:t>a</w:t>
      </w:r>
      <w:r w:rsidRPr="00970EF8">
        <w:rPr>
          <w:szCs w:val="24"/>
        </w:rPr>
        <w:t xml:space="preserve">warding </w:t>
      </w:r>
      <w:r>
        <w:rPr>
          <w:szCs w:val="24"/>
        </w:rPr>
        <w:t>o</w:t>
      </w:r>
      <w:r w:rsidRPr="00970EF8">
        <w:rPr>
          <w:szCs w:val="24"/>
        </w:rPr>
        <w:t xml:space="preserve">rganisations are required to secure Ofqual accreditation and then seek confirmation from </w:t>
      </w:r>
      <w:r w:rsidR="003E1738">
        <w:rPr>
          <w:szCs w:val="24"/>
        </w:rPr>
        <w:t>the Department for Education</w:t>
      </w:r>
      <w:r w:rsidRPr="00970EF8">
        <w:rPr>
          <w:szCs w:val="24"/>
        </w:rPr>
        <w:t xml:space="preserve"> that a qualification demonstrates the required characteristics to count in 14-16 and 16-19 </w:t>
      </w:r>
      <w:r w:rsidR="004F2CAB">
        <w:rPr>
          <w:szCs w:val="24"/>
        </w:rPr>
        <w:t>p</w:t>
      </w:r>
      <w:r w:rsidRPr="00970EF8">
        <w:rPr>
          <w:szCs w:val="24"/>
        </w:rPr>
        <w:t xml:space="preserve">erformance </w:t>
      </w:r>
      <w:r w:rsidR="004F2CAB">
        <w:rPr>
          <w:szCs w:val="24"/>
        </w:rPr>
        <w:t>t</w:t>
      </w:r>
      <w:r w:rsidRPr="00970EF8">
        <w:rPr>
          <w:szCs w:val="24"/>
        </w:rPr>
        <w:t>ables. In future, Ofqual could adopt DfE characteristic requirements and check they are met as part of their regulatory remit, resulting in a simpler and more efficient process.</w:t>
      </w:r>
    </w:p>
    <w:p w14:paraId="37DD7E31" w14:textId="77777777" w:rsidR="0059603D" w:rsidRPr="00970EF8" w:rsidRDefault="0059603D" w:rsidP="007C1F93">
      <w:pPr>
        <w:tabs>
          <w:tab w:val="left" w:pos="720"/>
        </w:tabs>
        <w:ind w:left="709"/>
        <w:rPr>
          <w:szCs w:val="24"/>
        </w:rPr>
      </w:pPr>
    </w:p>
    <w:tbl>
      <w:tblPr>
        <w:tblW w:w="9214" w:type="dxa"/>
        <w:tblInd w:w="108" w:type="dxa"/>
        <w:tblLayout w:type="fixed"/>
        <w:tblCellMar>
          <w:left w:w="0" w:type="dxa"/>
          <w:right w:w="0" w:type="dxa"/>
        </w:tblCellMar>
        <w:tblLook w:val="04A0" w:firstRow="1" w:lastRow="0" w:firstColumn="1" w:lastColumn="0" w:noHBand="0" w:noVBand="1"/>
      </w:tblPr>
      <w:tblGrid>
        <w:gridCol w:w="2694"/>
        <w:gridCol w:w="6520"/>
      </w:tblGrid>
      <w:tr w:rsidR="007C1F93" w:rsidRPr="00597082" w14:paraId="5F1504D6" w14:textId="77777777" w:rsidTr="00B942C0">
        <w:tc>
          <w:tcPr>
            <w:tcW w:w="2694" w:type="dxa"/>
            <w:tcBorders>
              <w:top w:val="single" w:sz="4"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tcPr>
          <w:p w14:paraId="4D30B249" w14:textId="77777777" w:rsidR="007C1F93" w:rsidRPr="00A6017D" w:rsidRDefault="007C1F93" w:rsidP="00D823B7">
            <w:pPr>
              <w:rPr>
                <w:b/>
                <w:sz w:val="22"/>
                <w:szCs w:val="22"/>
              </w:rPr>
            </w:pPr>
            <w:r w:rsidRPr="00A6017D">
              <w:rPr>
                <w:b/>
                <w:sz w:val="22"/>
                <w:szCs w:val="22"/>
              </w:rPr>
              <w:t>Date</w:t>
            </w:r>
          </w:p>
        </w:tc>
        <w:tc>
          <w:tcPr>
            <w:tcW w:w="6520" w:type="dxa"/>
            <w:tcBorders>
              <w:top w:val="single" w:sz="4" w:space="0" w:color="auto"/>
              <w:left w:val="nil"/>
              <w:bottom w:val="single" w:sz="8" w:space="0" w:color="auto"/>
              <w:right w:val="single" w:sz="4" w:space="0" w:color="auto"/>
            </w:tcBorders>
            <w:shd w:val="clear" w:color="auto" w:fill="D9D9D9"/>
            <w:tcMar>
              <w:top w:w="0" w:type="dxa"/>
              <w:left w:w="108" w:type="dxa"/>
              <w:bottom w:w="0" w:type="dxa"/>
              <w:right w:w="108" w:type="dxa"/>
            </w:tcMar>
          </w:tcPr>
          <w:p w14:paraId="60346DB0" w14:textId="77777777" w:rsidR="007C1F93" w:rsidRDefault="007C1F93" w:rsidP="00D823B7">
            <w:pPr>
              <w:rPr>
                <w:b/>
                <w:sz w:val="22"/>
                <w:szCs w:val="22"/>
              </w:rPr>
            </w:pPr>
            <w:r w:rsidRPr="00A6017D">
              <w:rPr>
                <w:b/>
                <w:sz w:val="22"/>
                <w:szCs w:val="22"/>
              </w:rPr>
              <w:t>Stage</w:t>
            </w:r>
          </w:p>
          <w:p w14:paraId="5660EA9A" w14:textId="77777777" w:rsidR="007C1F93" w:rsidRPr="00A6017D" w:rsidRDefault="007C1F93" w:rsidP="00D823B7">
            <w:pPr>
              <w:rPr>
                <w:b/>
                <w:sz w:val="22"/>
                <w:szCs w:val="22"/>
              </w:rPr>
            </w:pPr>
          </w:p>
        </w:tc>
      </w:tr>
      <w:tr w:rsidR="007C1F93" w:rsidRPr="00597082" w14:paraId="3A59FB81" w14:textId="77777777" w:rsidTr="00B942C0">
        <w:tc>
          <w:tcPr>
            <w:tcW w:w="269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44677F5A" w14:textId="4DDA88C7" w:rsidR="007C1F93" w:rsidRPr="00A6017D" w:rsidRDefault="0019432F" w:rsidP="0019432F">
            <w:pPr>
              <w:spacing w:after="120"/>
              <w:rPr>
                <w:sz w:val="22"/>
                <w:szCs w:val="22"/>
              </w:rPr>
            </w:pPr>
            <w:r>
              <w:rPr>
                <w:sz w:val="22"/>
                <w:szCs w:val="22"/>
              </w:rPr>
              <w:t>7</w:t>
            </w:r>
            <w:r w:rsidR="004F2CAB">
              <w:rPr>
                <w:sz w:val="22"/>
                <w:szCs w:val="22"/>
              </w:rPr>
              <w:t xml:space="preserve"> March</w:t>
            </w:r>
            <w:r w:rsidR="00D504A8">
              <w:rPr>
                <w:sz w:val="22"/>
                <w:szCs w:val="22"/>
              </w:rPr>
              <w:t xml:space="preserve"> –</w:t>
            </w:r>
            <w:r w:rsidR="007C1F93">
              <w:rPr>
                <w:sz w:val="22"/>
                <w:szCs w:val="22"/>
              </w:rPr>
              <w:t xml:space="preserve"> </w:t>
            </w:r>
            <w:r>
              <w:rPr>
                <w:sz w:val="22"/>
                <w:szCs w:val="22"/>
              </w:rPr>
              <w:t>10</w:t>
            </w:r>
            <w:r w:rsidR="004F2CAB">
              <w:rPr>
                <w:sz w:val="22"/>
                <w:szCs w:val="22"/>
              </w:rPr>
              <w:t xml:space="preserve"> May</w:t>
            </w:r>
            <w:r w:rsidR="007C1F93" w:rsidRPr="00A6017D">
              <w:rPr>
                <w:sz w:val="22"/>
                <w:szCs w:val="22"/>
              </w:rPr>
              <w:t xml:space="preserve"> 2013</w:t>
            </w:r>
          </w:p>
        </w:tc>
        <w:tc>
          <w:tcPr>
            <w:tcW w:w="6520"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518D71F7" w14:textId="77777777" w:rsidR="007C1F93" w:rsidRPr="00A6017D" w:rsidRDefault="007C1F93" w:rsidP="00D823B7">
            <w:pPr>
              <w:spacing w:after="120"/>
              <w:rPr>
                <w:sz w:val="22"/>
                <w:szCs w:val="22"/>
              </w:rPr>
            </w:pPr>
            <w:r w:rsidRPr="00A6017D">
              <w:rPr>
                <w:sz w:val="22"/>
                <w:szCs w:val="22"/>
              </w:rPr>
              <w:t>Consultation</w:t>
            </w:r>
          </w:p>
        </w:tc>
      </w:tr>
      <w:tr w:rsidR="007C1F93" w:rsidRPr="00597082" w14:paraId="50E5AE47" w14:textId="77777777" w:rsidTr="00B942C0">
        <w:tc>
          <w:tcPr>
            <w:tcW w:w="269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912577C" w14:textId="1D7D4DC7" w:rsidR="007C1F93" w:rsidRPr="00A6017D" w:rsidRDefault="004F2CAB" w:rsidP="00D823B7">
            <w:pPr>
              <w:spacing w:after="120"/>
              <w:rPr>
                <w:sz w:val="22"/>
                <w:szCs w:val="22"/>
              </w:rPr>
            </w:pPr>
            <w:r>
              <w:rPr>
                <w:sz w:val="22"/>
                <w:szCs w:val="22"/>
              </w:rPr>
              <w:t xml:space="preserve">June </w:t>
            </w:r>
            <w:r w:rsidR="007C1F93">
              <w:rPr>
                <w:sz w:val="22"/>
                <w:szCs w:val="22"/>
              </w:rPr>
              <w:t>2013</w:t>
            </w:r>
          </w:p>
        </w:tc>
        <w:tc>
          <w:tcPr>
            <w:tcW w:w="6520"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3FB2FECC" w14:textId="2D646E73" w:rsidR="007C1F93" w:rsidRPr="00A6017D" w:rsidRDefault="007C1F93" w:rsidP="003E1738">
            <w:pPr>
              <w:spacing w:after="120"/>
              <w:rPr>
                <w:sz w:val="22"/>
                <w:szCs w:val="22"/>
              </w:rPr>
            </w:pPr>
            <w:r>
              <w:rPr>
                <w:sz w:val="22"/>
                <w:szCs w:val="22"/>
              </w:rPr>
              <w:t>Publish</w:t>
            </w:r>
            <w:r w:rsidRPr="00A6017D">
              <w:rPr>
                <w:sz w:val="22"/>
                <w:szCs w:val="22"/>
              </w:rPr>
              <w:t xml:space="preserve"> response to consultation</w:t>
            </w:r>
            <w:r>
              <w:rPr>
                <w:sz w:val="22"/>
                <w:szCs w:val="22"/>
              </w:rPr>
              <w:t>,</w:t>
            </w:r>
            <w:r w:rsidRPr="00A6017D">
              <w:rPr>
                <w:sz w:val="22"/>
                <w:szCs w:val="22"/>
              </w:rPr>
              <w:t xml:space="preserve"> </w:t>
            </w:r>
            <w:r w:rsidR="003E1738">
              <w:rPr>
                <w:sz w:val="22"/>
                <w:szCs w:val="22"/>
              </w:rPr>
              <w:t>Equality Impact Assessment</w:t>
            </w:r>
            <w:r w:rsidRPr="00A6017D">
              <w:rPr>
                <w:sz w:val="22"/>
                <w:szCs w:val="22"/>
              </w:rPr>
              <w:t xml:space="preserve"> and </w:t>
            </w:r>
            <w:r>
              <w:rPr>
                <w:sz w:val="22"/>
                <w:szCs w:val="22"/>
              </w:rPr>
              <w:t xml:space="preserve">technical guidance </w:t>
            </w:r>
          </w:p>
        </w:tc>
      </w:tr>
      <w:tr w:rsidR="007C1F93" w:rsidRPr="00597082" w14:paraId="4B5D3369" w14:textId="77777777" w:rsidTr="00B942C0">
        <w:tc>
          <w:tcPr>
            <w:tcW w:w="269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65BAF4A" w14:textId="6B1D935F" w:rsidR="007C1F93" w:rsidRPr="0026452E" w:rsidRDefault="004F2CAB" w:rsidP="00D823B7">
            <w:pPr>
              <w:spacing w:after="120"/>
              <w:rPr>
                <w:sz w:val="22"/>
                <w:szCs w:val="22"/>
              </w:rPr>
            </w:pPr>
            <w:r>
              <w:rPr>
                <w:sz w:val="22"/>
                <w:szCs w:val="22"/>
              </w:rPr>
              <w:t>June</w:t>
            </w:r>
            <w:r w:rsidRPr="0026452E">
              <w:rPr>
                <w:sz w:val="22"/>
                <w:szCs w:val="22"/>
              </w:rPr>
              <w:t xml:space="preserve"> </w:t>
            </w:r>
            <w:r w:rsidR="007C1F93" w:rsidRPr="0026452E">
              <w:rPr>
                <w:sz w:val="22"/>
                <w:szCs w:val="22"/>
              </w:rPr>
              <w:t>– September 2013</w:t>
            </w:r>
          </w:p>
        </w:tc>
        <w:tc>
          <w:tcPr>
            <w:tcW w:w="6520"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56606706" w14:textId="77777777" w:rsidR="007C1F93" w:rsidRPr="0026452E" w:rsidRDefault="007C1F93" w:rsidP="00D823B7">
            <w:pPr>
              <w:spacing w:after="120"/>
              <w:rPr>
                <w:sz w:val="22"/>
                <w:szCs w:val="22"/>
              </w:rPr>
            </w:pPr>
            <w:r w:rsidRPr="0026452E">
              <w:rPr>
                <w:sz w:val="22"/>
                <w:szCs w:val="22"/>
              </w:rPr>
              <w:t>A</w:t>
            </w:r>
            <w:r>
              <w:rPr>
                <w:sz w:val="22"/>
                <w:szCs w:val="22"/>
              </w:rPr>
              <w:t>warding organisation</w:t>
            </w:r>
            <w:r w:rsidRPr="0026452E">
              <w:rPr>
                <w:sz w:val="22"/>
                <w:szCs w:val="22"/>
              </w:rPr>
              <w:t xml:space="preserve">s submit qualifications and completed proforma providing evidence on how </w:t>
            </w:r>
            <w:r>
              <w:rPr>
                <w:sz w:val="22"/>
                <w:szCs w:val="22"/>
              </w:rPr>
              <w:t xml:space="preserve">the </w:t>
            </w:r>
            <w:r w:rsidRPr="0026452E">
              <w:rPr>
                <w:sz w:val="22"/>
                <w:szCs w:val="22"/>
              </w:rPr>
              <w:t>qualification</w:t>
            </w:r>
            <w:r>
              <w:rPr>
                <w:sz w:val="22"/>
                <w:szCs w:val="22"/>
              </w:rPr>
              <w:t>s</w:t>
            </w:r>
            <w:r w:rsidRPr="0026452E">
              <w:rPr>
                <w:sz w:val="22"/>
                <w:szCs w:val="22"/>
              </w:rPr>
              <w:t xml:space="preserve"> meet </w:t>
            </w:r>
            <w:r>
              <w:rPr>
                <w:sz w:val="22"/>
                <w:szCs w:val="22"/>
              </w:rPr>
              <w:t xml:space="preserve">interim </w:t>
            </w:r>
            <w:r w:rsidRPr="0026452E">
              <w:rPr>
                <w:sz w:val="22"/>
                <w:szCs w:val="22"/>
              </w:rPr>
              <w:t>characteristics</w:t>
            </w:r>
          </w:p>
        </w:tc>
      </w:tr>
      <w:tr w:rsidR="007C1F93" w:rsidRPr="00597082" w14:paraId="3B1D1169" w14:textId="77777777" w:rsidTr="00B942C0">
        <w:tc>
          <w:tcPr>
            <w:tcW w:w="269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18A2201" w14:textId="77777777" w:rsidR="007C1F93" w:rsidRPr="00A6017D" w:rsidRDefault="007C1F93" w:rsidP="00D823B7">
            <w:pPr>
              <w:spacing w:after="120"/>
              <w:rPr>
                <w:sz w:val="22"/>
                <w:szCs w:val="22"/>
              </w:rPr>
            </w:pPr>
            <w:r>
              <w:rPr>
                <w:sz w:val="22"/>
                <w:szCs w:val="22"/>
              </w:rPr>
              <w:t>September – October</w:t>
            </w:r>
            <w:r w:rsidRPr="00A6017D">
              <w:rPr>
                <w:sz w:val="22"/>
                <w:szCs w:val="22"/>
              </w:rPr>
              <w:t xml:space="preserve"> 2013</w:t>
            </w:r>
          </w:p>
        </w:tc>
        <w:tc>
          <w:tcPr>
            <w:tcW w:w="6520"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3B47588E" w14:textId="46574C92" w:rsidR="007C1F93" w:rsidRPr="00A6017D" w:rsidRDefault="003E1738" w:rsidP="00D823B7">
            <w:pPr>
              <w:spacing w:after="120"/>
              <w:rPr>
                <w:sz w:val="22"/>
                <w:szCs w:val="22"/>
              </w:rPr>
            </w:pPr>
            <w:r>
              <w:rPr>
                <w:sz w:val="22"/>
                <w:szCs w:val="22"/>
              </w:rPr>
              <w:t>Department for Education</w:t>
            </w:r>
            <w:r w:rsidR="007C1F93">
              <w:rPr>
                <w:sz w:val="22"/>
                <w:szCs w:val="22"/>
              </w:rPr>
              <w:t xml:space="preserve">/Ofqual review qualifications and evidence </w:t>
            </w:r>
          </w:p>
        </w:tc>
      </w:tr>
      <w:tr w:rsidR="007C1F93" w:rsidRPr="00597082" w14:paraId="698D5D08" w14:textId="77777777" w:rsidTr="00B942C0">
        <w:tc>
          <w:tcPr>
            <w:tcW w:w="269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531AA1B" w14:textId="77777777" w:rsidR="007C1F93" w:rsidRPr="00A6017D" w:rsidRDefault="007C1F93" w:rsidP="00D823B7">
            <w:pPr>
              <w:spacing w:after="120"/>
              <w:rPr>
                <w:sz w:val="22"/>
                <w:szCs w:val="22"/>
              </w:rPr>
            </w:pPr>
            <w:r>
              <w:rPr>
                <w:sz w:val="22"/>
                <w:szCs w:val="22"/>
              </w:rPr>
              <w:t>November 2013</w:t>
            </w:r>
          </w:p>
        </w:tc>
        <w:tc>
          <w:tcPr>
            <w:tcW w:w="6520"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3D57BA28" w14:textId="77777777" w:rsidR="007C1F93" w:rsidRPr="00A6017D" w:rsidRDefault="007C1F93" w:rsidP="00D823B7">
            <w:pPr>
              <w:spacing w:after="120"/>
              <w:rPr>
                <w:sz w:val="22"/>
                <w:szCs w:val="22"/>
              </w:rPr>
            </w:pPr>
            <w:r>
              <w:rPr>
                <w:sz w:val="22"/>
                <w:szCs w:val="22"/>
              </w:rPr>
              <w:t>Publication of list of 16-19 Level 3 qualifications that will count towards 2016 performance tables (meeting interim standard).</w:t>
            </w:r>
          </w:p>
        </w:tc>
      </w:tr>
      <w:tr w:rsidR="007C1F93" w:rsidRPr="00597082" w14:paraId="3647C370" w14:textId="77777777" w:rsidTr="00B942C0">
        <w:tc>
          <w:tcPr>
            <w:tcW w:w="269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F36E733" w14:textId="77777777" w:rsidR="007C1F93" w:rsidRPr="00A6017D" w:rsidRDefault="007C1F93" w:rsidP="00D823B7">
            <w:pPr>
              <w:spacing w:after="120"/>
              <w:rPr>
                <w:sz w:val="22"/>
                <w:szCs w:val="22"/>
              </w:rPr>
            </w:pPr>
            <w:r>
              <w:rPr>
                <w:sz w:val="22"/>
                <w:szCs w:val="22"/>
              </w:rPr>
              <w:t>Spring</w:t>
            </w:r>
            <w:r w:rsidRPr="00A6017D">
              <w:rPr>
                <w:sz w:val="22"/>
                <w:szCs w:val="22"/>
              </w:rPr>
              <w:t xml:space="preserve"> 2014 </w:t>
            </w:r>
          </w:p>
        </w:tc>
        <w:tc>
          <w:tcPr>
            <w:tcW w:w="6520"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285093ED" w14:textId="77777777" w:rsidR="007C1F93" w:rsidRPr="00A6017D" w:rsidRDefault="007C1F93" w:rsidP="00D823B7">
            <w:pPr>
              <w:spacing w:after="120"/>
              <w:rPr>
                <w:sz w:val="22"/>
                <w:szCs w:val="22"/>
              </w:rPr>
            </w:pPr>
            <w:r>
              <w:rPr>
                <w:sz w:val="22"/>
                <w:szCs w:val="22"/>
              </w:rPr>
              <w:t xml:space="preserve">2013 performance tables published to include </w:t>
            </w:r>
            <w:r w:rsidRPr="00A6017D">
              <w:rPr>
                <w:sz w:val="22"/>
                <w:szCs w:val="22"/>
              </w:rPr>
              <w:t>shadow data</w:t>
            </w:r>
            <w:r>
              <w:rPr>
                <w:sz w:val="22"/>
                <w:szCs w:val="22"/>
              </w:rPr>
              <w:t xml:space="preserve"> showing how institutions’ results would have differed if the list had been in effect.</w:t>
            </w:r>
          </w:p>
        </w:tc>
      </w:tr>
      <w:tr w:rsidR="007C1F93" w:rsidRPr="00597082" w14:paraId="4749504F" w14:textId="77777777" w:rsidTr="00B942C0">
        <w:tc>
          <w:tcPr>
            <w:tcW w:w="269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A217F71" w14:textId="5E1D4501" w:rsidR="007C1F93" w:rsidRPr="0026452E" w:rsidRDefault="007C1F93" w:rsidP="00D823B7">
            <w:pPr>
              <w:spacing w:after="120"/>
              <w:rPr>
                <w:sz w:val="22"/>
                <w:szCs w:val="22"/>
              </w:rPr>
            </w:pPr>
            <w:r w:rsidRPr="0026452E">
              <w:rPr>
                <w:sz w:val="22"/>
                <w:szCs w:val="22"/>
              </w:rPr>
              <w:t xml:space="preserve">June 2013 to </w:t>
            </w:r>
            <w:r w:rsidR="0059603D">
              <w:rPr>
                <w:sz w:val="22"/>
                <w:szCs w:val="22"/>
              </w:rPr>
              <w:t xml:space="preserve">   </w:t>
            </w:r>
            <w:r w:rsidRPr="0026452E">
              <w:rPr>
                <w:sz w:val="22"/>
                <w:szCs w:val="22"/>
              </w:rPr>
              <w:t>September 2014</w:t>
            </w:r>
          </w:p>
        </w:tc>
        <w:tc>
          <w:tcPr>
            <w:tcW w:w="6520"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7223177F" w14:textId="77777777" w:rsidR="007C1F93" w:rsidRPr="0026452E" w:rsidRDefault="007C1F93" w:rsidP="00D823B7">
            <w:pPr>
              <w:spacing w:after="120"/>
              <w:rPr>
                <w:sz w:val="22"/>
                <w:szCs w:val="22"/>
              </w:rPr>
            </w:pPr>
            <w:r w:rsidRPr="0026452E">
              <w:rPr>
                <w:sz w:val="22"/>
                <w:szCs w:val="22"/>
              </w:rPr>
              <w:t>A</w:t>
            </w:r>
            <w:r>
              <w:rPr>
                <w:sz w:val="22"/>
                <w:szCs w:val="22"/>
              </w:rPr>
              <w:t>warding organisation</w:t>
            </w:r>
            <w:r w:rsidRPr="0026452E">
              <w:rPr>
                <w:sz w:val="22"/>
                <w:szCs w:val="22"/>
              </w:rPr>
              <w:t>s redevelop qualifications</w:t>
            </w:r>
            <w:r>
              <w:rPr>
                <w:sz w:val="22"/>
                <w:szCs w:val="22"/>
              </w:rPr>
              <w:t xml:space="preserve"> to meet the full standard for the two new categories of vocational qualifications</w:t>
            </w:r>
          </w:p>
        </w:tc>
      </w:tr>
      <w:tr w:rsidR="007C1F93" w:rsidRPr="00597082" w14:paraId="2D7BFAB0" w14:textId="77777777" w:rsidTr="00B942C0">
        <w:tc>
          <w:tcPr>
            <w:tcW w:w="269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29AB333" w14:textId="77777777" w:rsidR="007C1F93" w:rsidRPr="0026452E" w:rsidRDefault="007C1F93" w:rsidP="00D823B7">
            <w:pPr>
              <w:spacing w:after="120"/>
              <w:rPr>
                <w:sz w:val="22"/>
                <w:szCs w:val="22"/>
              </w:rPr>
            </w:pPr>
            <w:r w:rsidRPr="0026452E">
              <w:rPr>
                <w:sz w:val="22"/>
                <w:szCs w:val="22"/>
              </w:rPr>
              <w:t>September 2014</w:t>
            </w:r>
          </w:p>
        </w:tc>
        <w:tc>
          <w:tcPr>
            <w:tcW w:w="6520"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63D996D3" w14:textId="77777777" w:rsidR="007C1F93" w:rsidRPr="0026452E" w:rsidRDefault="007C1F93" w:rsidP="00D823B7">
            <w:pPr>
              <w:spacing w:after="120"/>
              <w:rPr>
                <w:sz w:val="22"/>
                <w:szCs w:val="22"/>
              </w:rPr>
            </w:pPr>
            <w:r w:rsidRPr="0026452E">
              <w:rPr>
                <w:sz w:val="22"/>
                <w:szCs w:val="22"/>
              </w:rPr>
              <w:t xml:space="preserve">First teaching of qualifications that meet the </w:t>
            </w:r>
            <w:r>
              <w:rPr>
                <w:sz w:val="22"/>
                <w:szCs w:val="22"/>
              </w:rPr>
              <w:t>interim</w:t>
            </w:r>
            <w:r w:rsidRPr="0026452E">
              <w:rPr>
                <w:sz w:val="22"/>
                <w:szCs w:val="22"/>
              </w:rPr>
              <w:t xml:space="preserve"> standard and count towards 2016</w:t>
            </w:r>
            <w:r>
              <w:rPr>
                <w:sz w:val="22"/>
                <w:szCs w:val="22"/>
              </w:rPr>
              <w:t xml:space="preserve"> and 2017</w:t>
            </w:r>
            <w:r w:rsidRPr="0026452E">
              <w:rPr>
                <w:sz w:val="22"/>
                <w:szCs w:val="22"/>
              </w:rPr>
              <w:t xml:space="preserve"> </w:t>
            </w:r>
            <w:r>
              <w:rPr>
                <w:sz w:val="22"/>
                <w:szCs w:val="22"/>
              </w:rPr>
              <w:t>p</w:t>
            </w:r>
            <w:r w:rsidRPr="0026452E">
              <w:rPr>
                <w:sz w:val="22"/>
                <w:szCs w:val="22"/>
              </w:rPr>
              <w:t xml:space="preserve">erformance </w:t>
            </w:r>
            <w:r>
              <w:rPr>
                <w:sz w:val="22"/>
                <w:szCs w:val="22"/>
              </w:rPr>
              <w:t>t</w:t>
            </w:r>
            <w:r w:rsidRPr="0026452E">
              <w:rPr>
                <w:sz w:val="22"/>
                <w:szCs w:val="22"/>
              </w:rPr>
              <w:t>ables.</w:t>
            </w:r>
          </w:p>
        </w:tc>
      </w:tr>
      <w:tr w:rsidR="007C1F93" w:rsidRPr="00597082" w14:paraId="5CB7076A" w14:textId="77777777" w:rsidTr="00B942C0">
        <w:tc>
          <w:tcPr>
            <w:tcW w:w="269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084D0A35" w14:textId="77777777" w:rsidR="007C1F93" w:rsidRPr="0026452E" w:rsidRDefault="007C1F93" w:rsidP="00D823B7">
            <w:pPr>
              <w:spacing w:after="120"/>
              <w:rPr>
                <w:sz w:val="22"/>
                <w:szCs w:val="22"/>
              </w:rPr>
            </w:pPr>
            <w:r w:rsidRPr="0026452E">
              <w:rPr>
                <w:sz w:val="22"/>
                <w:szCs w:val="22"/>
              </w:rPr>
              <w:t>November 2015</w:t>
            </w:r>
          </w:p>
        </w:tc>
        <w:tc>
          <w:tcPr>
            <w:tcW w:w="6520"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0E8D45AF" w14:textId="77777777" w:rsidR="007C1F93" w:rsidRPr="0026452E" w:rsidRDefault="007C1F93" w:rsidP="00D823B7">
            <w:pPr>
              <w:spacing w:after="120"/>
              <w:rPr>
                <w:sz w:val="22"/>
                <w:szCs w:val="22"/>
              </w:rPr>
            </w:pPr>
            <w:r>
              <w:rPr>
                <w:sz w:val="22"/>
                <w:szCs w:val="22"/>
              </w:rPr>
              <w:t>Publication of list of 16-19 L</w:t>
            </w:r>
            <w:r w:rsidRPr="0026452E">
              <w:rPr>
                <w:sz w:val="22"/>
                <w:szCs w:val="22"/>
              </w:rPr>
              <w:t>evel 3 qualifications that will count towards 2018 Performance tables (meeting full standard).</w:t>
            </w:r>
          </w:p>
        </w:tc>
      </w:tr>
      <w:tr w:rsidR="007C1F93" w:rsidRPr="00597082" w14:paraId="39348333" w14:textId="77777777" w:rsidTr="00B942C0">
        <w:tc>
          <w:tcPr>
            <w:tcW w:w="269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4A45A3A" w14:textId="77777777" w:rsidR="007C1F93" w:rsidRPr="0026452E" w:rsidRDefault="007C1F93" w:rsidP="00D823B7">
            <w:pPr>
              <w:spacing w:after="120"/>
              <w:rPr>
                <w:sz w:val="22"/>
                <w:szCs w:val="22"/>
              </w:rPr>
            </w:pPr>
            <w:r w:rsidRPr="0026452E">
              <w:rPr>
                <w:sz w:val="22"/>
                <w:szCs w:val="22"/>
              </w:rPr>
              <w:t>September 2016</w:t>
            </w:r>
          </w:p>
        </w:tc>
        <w:tc>
          <w:tcPr>
            <w:tcW w:w="6520"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6026526A" w14:textId="77777777" w:rsidR="007C1F93" w:rsidRPr="0026452E" w:rsidRDefault="007C1F93" w:rsidP="00D823B7">
            <w:pPr>
              <w:spacing w:after="120"/>
              <w:rPr>
                <w:sz w:val="22"/>
                <w:szCs w:val="22"/>
              </w:rPr>
            </w:pPr>
            <w:r w:rsidRPr="0026452E">
              <w:rPr>
                <w:sz w:val="22"/>
                <w:szCs w:val="22"/>
              </w:rPr>
              <w:t>First teaching of qualifications that meet the full standard and count towards 2018</w:t>
            </w:r>
            <w:r>
              <w:rPr>
                <w:sz w:val="22"/>
                <w:szCs w:val="22"/>
              </w:rPr>
              <w:t xml:space="preserve"> performance t</w:t>
            </w:r>
            <w:r w:rsidRPr="0026452E">
              <w:rPr>
                <w:sz w:val="22"/>
                <w:szCs w:val="22"/>
              </w:rPr>
              <w:t>ables.</w:t>
            </w:r>
          </w:p>
        </w:tc>
      </w:tr>
      <w:tr w:rsidR="007C1F93" w:rsidRPr="00597082" w14:paraId="59FF3AD2" w14:textId="77777777" w:rsidTr="00B942C0">
        <w:tc>
          <w:tcPr>
            <w:tcW w:w="269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E9A1B70" w14:textId="77777777" w:rsidR="007C1F93" w:rsidRDefault="007C1F93" w:rsidP="00D823B7">
            <w:pPr>
              <w:spacing w:after="120"/>
              <w:rPr>
                <w:sz w:val="22"/>
                <w:szCs w:val="22"/>
              </w:rPr>
            </w:pPr>
            <w:r>
              <w:rPr>
                <w:sz w:val="22"/>
                <w:szCs w:val="22"/>
              </w:rPr>
              <w:t>January 2017</w:t>
            </w:r>
          </w:p>
        </w:tc>
        <w:tc>
          <w:tcPr>
            <w:tcW w:w="6520"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691B5E58" w14:textId="25658F86" w:rsidR="007C1F93" w:rsidRDefault="007C1F93" w:rsidP="00D823B7">
            <w:pPr>
              <w:spacing w:after="120"/>
              <w:rPr>
                <w:sz w:val="22"/>
                <w:szCs w:val="22"/>
              </w:rPr>
            </w:pPr>
            <w:r>
              <w:rPr>
                <w:sz w:val="22"/>
                <w:szCs w:val="22"/>
              </w:rPr>
              <w:t>Fully reformed 16-19 tables published (in January 2017) which report the two new categories of vocational qualifications separately</w:t>
            </w:r>
            <w:r w:rsidR="001E067B">
              <w:rPr>
                <w:sz w:val="22"/>
                <w:szCs w:val="22"/>
              </w:rPr>
              <w:t xml:space="preserve"> and alongside the results for A l</w:t>
            </w:r>
            <w:r>
              <w:rPr>
                <w:sz w:val="22"/>
                <w:szCs w:val="22"/>
              </w:rPr>
              <w:t>evels.</w:t>
            </w:r>
          </w:p>
        </w:tc>
      </w:tr>
    </w:tbl>
    <w:p w14:paraId="2F8076DD" w14:textId="77777777" w:rsidR="007C1F93" w:rsidRDefault="007C1F93" w:rsidP="007C1F93">
      <w:pPr>
        <w:ind w:left="720" w:hanging="720"/>
        <w:rPr>
          <w:szCs w:val="24"/>
        </w:rPr>
      </w:pPr>
    </w:p>
    <w:p w14:paraId="6E5CB753" w14:textId="4E26C904" w:rsidR="007C1F93" w:rsidRPr="002475D2" w:rsidRDefault="00A468C2" w:rsidP="007C1F93">
      <w:pPr>
        <w:ind w:left="720" w:hanging="720"/>
        <w:rPr>
          <w:szCs w:val="24"/>
        </w:rPr>
      </w:pPr>
      <w:r>
        <w:rPr>
          <w:szCs w:val="24"/>
        </w:rPr>
        <w:t>5.5</w:t>
      </w:r>
      <w:r w:rsidR="007C1F93">
        <w:rPr>
          <w:szCs w:val="24"/>
        </w:rPr>
        <w:t>.</w:t>
      </w:r>
      <w:r w:rsidR="007C1F93">
        <w:rPr>
          <w:szCs w:val="24"/>
        </w:rPr>
        <w:tab/>
      </w:r>
      <w:r w:rsidR="007C1F93" w:rsidRPr="002475D2">
        <w:rPr>
          <w:szCs w:val="24"/>
        </w:rPr>
        <w:t>The proposed reforms would affect courses ta</w:t>
      </w:r>
      <w:r w:rsidR="007C1F93">
        <w:rPr>
          <w:szCs w:val="24"/>
        </w:rPr>
        <w:t>ught</w:t>
      </w:r>
      <w:r w:rsidR="007C1F93" w:rsidRPr="002475D2">
        <w:rPr>
          <w:szCs w:val="24"/>
        </w:rPr>
        <w:t xml:space="preserve"> from September 2014</w:t>
      </w:r>
      <w:r w:rsidR="007C1F93">
        <w:rPr>
          <w:szCs w:val="24"/>
        </w:rPr>
        <w:t xml:space="preserve">, examined in </w:t>
      </w:r>
      <w:r w:rsidR="007C1F93" w:rsidRPr="002475D2">
        <w:rPr>
          <w:szCs w:val="24"/>
        </w:rPr>
        <w:t>2016</w:t>
      </w:r>
      <w:r w:rsidR="007C1F93">
        <w:rPr>
          <w:szCs w:val="24"/>
        </w:rPr>
        <w:t xml:space="preserve"> and reported in the 2016 performance tables</w:t>
      </w:r>
      <w:r w:rsidR="007C1F93" w:rsidRPr="002475D2">
        <w:rPr>
          <w:szCs w:val="24"/>
        </w:rPr>
        <w:t xml:space="preserve">. The following </w:t>
      </w:r>
      <w:r w:rsidR="007C1F93">
        <w:rPr>
          <w:szCs w:val="24"/>
        </w:rPr>
        <w:t xml:space="preserve">student </w:t>
      </w:r>
      <w:r w:rsidR="007C1F93" w:rsidRPr="002475D2">
        <w:rPr>
          <w:szCs w:val="24"/>
        </w:rPr>
        <w:t>cohorts would be affected:</w:t>
      </w:r>
    </w:p>
    <w:p w14:paraId="75F1F072" w14:textId="77777777" w:rsidR="007C1F93" w:rsidRPr="002475D2" w:rsidRDefault="007C1F93" w:rsidP="007C1F93">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26"/>
      </w:tblGrid>
      <w:tr w:rsidR="007C1F93" w:rsidRPr="002475D2" w14:paraId="325583EE" w14:textId="77777777" w:rsidTr="00B942C0">
        <w:trPr>
          <w:trHeight w:val="552"/>
        </w:trPr>
        <w:tc>
          <w:tcPr>
            <w:tcW w:w="2552" w:type="dxa"/>
            <w:vAlign w:val="center"/>
          </w:tcPr>
          <w:p w14:paraId="5DA24B02" w14:textId="77777777" w:rsidR="007C1F93" w:rsidRPr="004279F4" w:rsidRDefault="007C1F93" w:rsidP="00D823B7">
            <w:pPr>
              <w:rPr>
                <w:szCs w:val="24"/>
              </w:rPr>
            </w:pPr>
            <w:r w:rsidRPr="004279F4">
              <w:rPr>
                <w:szCs w:val="24"/>
              </w:rPr>
              <w:t>Current Year 12</w:t>
            </w:r>
          </w:p>
        </w:tc>
        <w:tc>
          <w:tcPr>
            <w:tcW w:w="6626" w:type="dxa"/>
            <w:vAlign w:val="center"/>
          </w:tcPr>
          <w:p w14:paraId="362486D6" w14:textId="77777777" w:rsidR="007C1F93" w:rsidRPr="004279F4" w:rsidRDefault="007C1F93" w:rsidP="00D823B7">
            <w:pPr>
              <w:rPr>
                <w:szCs w:val="24"/>
              </w:rPr>
            </w:pPr>
            <w:r w:rsidRPr="004279F4">
              <w:rPr>
                <w:szCs w:val="24"/>
              </w:rPr>
              <w:t>Not affected</w:t>
            </w:r>
          </w:p>
        </w:tc>
      </w:tr>
      <w:tr w:rsidR="007C1F93" w:rsidRPr="002475D2" w14:paraId="0A7E18EA" w14:textId="77777777" w:rsidTr="00B942C0">
        <w:trPr>
          <w:trHeight w:val="552"/>
        </w:trPr>
        <w:tc>
          <w:tcPr>
            <w:tcW w:w="2552" w:type="dxa"/>
            <w:vAlign w:val="center"/>
          </w:tcPr>
          <w:p w14:paraId="15B3002E" w14:textId="77777777" w:rsidR="007C1F93" w:rsidRPr="004279F4" w:rsidRDefault="007C1F93" w:rsidP="00D823B7">
            <w:pPr>
              <w:rPr>
                <w:szCs w:val="24"/>
              </w:rPr>
            </w:pPr>
            <w:r w:rsidRPr="004279F4">
              <w:rPr>
                <w:szCs w:val="24"/>
              </w:rPr>
              <w:t>Current Year 11</w:t>
            </w:r>
          </w:p>
        </w:tc>
        <w:tc>
          <w:tcPr>
            <w:tcW w:w="6626" w:type="dxa"/>
            <w:vAlign w:val="center"/>
          </w:tcPr>
          <w:p w14:paraId="0F1A9977" w14:textId="77777777" w:rsidR="007C1F93" w:rsidRPr="004279F4" w:rsidRDefault="007C1F93" w:rsidP="00D823B7">
            <w:pPr>
              <w:rPr>
                <w:szCs w:val="24"/>
              </w:rPr>
            </w:pPr>
            <w:r w:rsidRPr="004279F4">
              <w:rPr>
                <w:szCs w:val="24"/>
              </w:rPr>
              <w:t>Not affected</w:t>
            </w:r>
          </w:p>
        </w:tc>
      </w:tr>
      <w:tr w:rsidR="007C1F93" w:rsidRPr="00B942C0" w14:paraId="36F42B29" w14:textId="77777777" w:rsidTr="00B942C0">
        <w:trPr>
          <w:trHeight w:val="550"/>
        </w:trPr>
        <w:tc>
          <w:tcPr>
            <w:tcW w:w="2552" w:type="dxa"/>
            <w:vAlign w:val="center"/>
          </w:tcPr>
          <w:p w14:paraId="228E82B4" w14:textId="77777777" w:rsidR="007C1F93" w:rsidRPr="004279F4" w:rsidRDefault="007C1F93" w:rsidP="00D823B7">
            <w:pPr>
              <w:rPr>
                <w:szCs w:val="24"/>
              </w:rPr>
            </w:pPr>
            <w:r w:rsidRPr="004279F4">
              <w:rPr>
                <w:szCs w:val="24"/>
              </w:rPr>
              <w:t>Current Year 10</w:t>
            </w:r>
          </w:p>
        </w:tc>
        <w:tc>
          <w:tcPr>
            <w:tcW w:w="6626" w:type="dxa"/>
            <w:vAlign w:val="center"/>
          </w:tcPr>
          <w:p w14:paraId="503907FC" w14:textId="77777777" w:rsidR="007C1F93" w:rsidRPr="004279F4" w:rsidRDefault="007C1F93" w:rsidP="00D823B7">
            <w:pPr>
              <w:rPr>
                <w:szCs w:val="24"/>
              </w:rPr>
            </w:pPr>
            <w:r w:rsidRPr="004279F4">
              <w:rPr>
                <w:szCs w:val="24"/>
              </w:rPr>
              <w:t>Affected by first stage of reform when reaching Year 12</w:t>
            </w:r>
          </w:p>
        </w:tc>
      </w:tr>
      <w:tr w:rsidR="007C1F93" w:rsidRPr="00B942C0" w14:paraId="101FF50A" w14:textId="77777777" w:rsidTr="00B942C0">
        <w:trPr>
          <w:trHeight w:val="550"/>
        </w:trPr>
        <w:tc>
          <w:tcPr>
            <w:tcW w:w="2552" w:type="dxa"/>
            <w:vAlign w:val="center"/>
          </w:tcPr>
          <w:p w14:paraId="50288ADA" w14:textId="77777777" w:rsidR="007C1F93" w:rsidRPr="004279F4" w:rsidRDefault="007C1F93" w:rsidP="00D823B7">
            <w:pPr>
              <w:rPr>
                <w:szCs w:val="24"/>
              </w:rPr>
            </w:pPr>
            <w:r w:rsidRPr="004279F4">
              <w:rPr>
                <w:szCs w:val="24"/>
              </w:rPr>
              <w:t>Current Year 9</w:t>
            </w:r>
          </w:p>
        </w:tc>
        <w:tc>
          <w:tcPr>
            <w:tcW w:w="6626" w:type="dxa"/>
            <w:vAlign w:val="center"/>
          </w:tcPr>
          <w:p w14:paraId="3E63A78F" w14:textId="77777777" w:rsidR="007C1F93" w:rsidRPr="004279F4" w:rsidRDefault="007C1F93" w:rsidP="00D823B7">
            <w:pPr>
              <w:rPr>
                <w:szCs w:val="24"/>
              </w:rPr>
            </w:pPr>
            <w:r w:rsidRPr="004279F4">
              <w:rPr>
                <w:szCs w:val="24"/>
              </w:rPr>
              <w:t>Affected by first stage of reform when reaching Year 12</w:t>
            </w:r>
          </w:p>
        </w:tc>
      </w:tr>
      <w:tr w:rsidR="007C1F93" w:rsidRPr="00B942C0" w14:paraId="13EA2FA2" w14:textId="77777777" w:rsidTr="00B942C0">
        <w:trPr>
          <w:trHeight w:val="550"/>
        </w:trPr>
        <w:tc>
          <w:tcPr>
            <w:tcW w:w="2552" w:type="dxa"/>
            <w:vAlign w:val="center"/>
          </w:tcPr>
          <w:p w14:paraId="35083D2D" w14:textId="77777777" w:rsidR="007C1F93" w:rsidRPr="004279F4" w:rsidRDefault="007C1F93" w:rsidP="00D823B7">
            <w:pPr>
              <w:rPr>
                <w:szCs w:val="24"/>
              </w:rPr>
            </w:pPr>
            <w:r w:rsidRPr="004279F4">
              <w:rPr>
                <w:szCs w:val="24"/>
              </w:rPr>
              <w:t>Current Year 8</w:t>
            </w:r>
          </w:p>
        </w:tc>
        <w:tc>
          <w:tcPr>
            <w:tcW w:w="6626" w:type="dxa"/>
            <w:vAlign w:val="center"/>
          </w:tcPr>
          <w:p w14:paraId="181FB833" w14:textId="77777777" w:rsidR="007C1F93" w:rsidRPr="004279F4" w:rsidRDefault="007C1F93" w:rsidP="00D823B7">
            <w:pPr>
              <w:rPr>
                <w:szCs w:val="24"/>
              </w:rPr>
            </w:pPr>
            <w:r w:rsidRPr="004279F4">
              <w:rPr>
                <w:szCs w:val="24"/>
              </w:rPr>
              <w:t>Affected by second stage of reform when reaching Year 12</w:t>
            </w:r>
          </w:p>
        </w:tc>
      </w:tr>
      <w:tr w:rsidR="007C1F93" w:rsidRPr="00B942C0" w14:paraId="3B96629B" w14:textId="77777777" w:rsidTr="00B942C0">
        <w:trPr>
          <w:trHeight w:val="550"/>
        </w:trPr>
        <w:tc>
          <w:tcPr>
            <w:tcW w:w="2552" w:type="dxa"/>
            <w:vAlign w:val="center"/>
          </w:tcPr>
          <w:p w14:paraId="1A3208AF" w14:textId="77777777" w:rsidR="007C1F93" w:rsidRPr="004279F4" w:rsidRDefault="007C1F93" w:rsidP="00D823B7">
            <w:pPr>
              <w:rPr>
                <w:szCs w:val="24"/>
              </w:rPr>
            </w:pPr>
            <w:r w:rsidRPr="004279F4">
              <w:rPr>
                <w:szCs w:val="24"/>
              </w:rPr>
              <w:t>Current Year 7</w:t>
            </w:r>
          </w:p>
        </w:tc>
        <w:tc>
          <w:tcPr>
            <w:tcW w:w="6626" w:type="dxa"/>
            <w:vAlign w:val="center"/>
          </w:tcPr>
          <w:p w14:paraId="0C83E936" w14:textId="77777777" w:rsidR="007C1F93" w:rsidRPr="004279F4" w:rsidRDefault="007C1F93" w:rsidP="00D823B7">
            <w:pPr>
              <w:rPr>
                <w:szCs w:val="24"/>
              </w:rPr>
            </w:pPr>
            <w:r w:rsidRPr="004279F4">
              <w:rPr>
                <w:szCs w:val="24"/>
              </w:rPr>
              <w:t>Affected by second stage of reform when reaching Year 12</w:t>
            </w:r>
          </w:p>
        </w:tc>
      </w:tr>
    </w:tbl>
    <w:p w14:paraId="1351B1AC" w14:textId="77777777" w:rsidR="007C1F93" w:rsidRDefault="007C1F93" w:rsidP="007C1F93">
      <w:pPr>
        <w:rPr>
          <w:b/>
          <w:sz w:val="28"/>
          <w:szCs w:val="28"/>
        </w:rPr>
      </w:pPr>
    </w:p>
    <w:p w14:paraId="4019D366" w14:textId="5E7E4512" w:rsidR="007C1F93" w:rsidRPr="00410289" w:rsidRDefault="007C1F93" w:rsidP="007C1F93">
      <w:pPr>
        <w:rPr>
          <w:b/>
          <w:sz w:val="28"/>
          <w:szCs w:val="28"/>
        </w:rPr>
      </w:pPr>
      <w:r>
        <w:rPr>
          <w:b/>
          <w:sz w:val="28"/>
          <w:szCs w:val="28"/>
        </w:rPr>
        <w:br w:type="page"/>
      </w:r>
      <w:r>
        <w:rPr>
          <w:b/>
          <w:sz w:val="28"/>
          <w:szCs w:val="28"/>
        </w:rPr>
        <w:lastRenderedPageBreak/>
        <w:t xml:space="preserve">Section </w:t>
      </w:r>
      <w:r w:rsidR="00BD6814">
        <w:rPr>
          <w:b/>
          <w:sz w:val="28"/>
          <w:szCs w:val="28"/>
        </w:rPr>
        <w:t>6</w:t>
      </w:r>
      <w:r>
        <w:rPr>
          <w:b/>
          <w:sz w:val="28"/>
          <w:szCs w:val="28"/>
        </w:rPr>
        <w:t xml:space="preserve">: </w:t>
      </w:r>
      <w:r w:rsidRPr="00410289">
        <w:rPr>
          <w:b/>
          <w:sz w:val="28"/>
          <w:szCs w:val="28"/>
        </w:rPr>
        <w:t xml:space="preserve">Conclusion and next steps </w:t>
      </w:r>
    </w:p>
    <w:p w14:paraId="39CFC792" w14:textId="77777777" w:rsidR="007C1F93" w:rsidRPr="00BB2803" w:rsidRDefault="007C1F93" w:rsidP="007C1F93">
      <w:pPr>
        <w:rPr>
          <w:i/>
          <w:szCs w:val="24"/>
        </w:rPr>
      </w:pPr>
    </w:p>
    <w:p w14:paraId="73280BDF" w14:textId="68AB99AC" w:rsidR="007C1F93" w:rsidRDefault="00A468C2" w:rsidP="007C1F93">
      <w:pPr>
        <w:ind w:left="720" w:hanging="720"/>
        <w:rPr>
          <w:szCs w:val="24"/>
        </w:rPr>
      </w:pPr>
      <w:r>
        <w:rPr>
          <w:szCs w:val="24"/>
        </w:rPr>
        <w:t>6</w:t>
      </w:r>
      <w:r w:rsidR="007C1F93">
        <w:rPr>
          <w:szCs w:val="24"/>
        </w:rPr>
        <w:t>.1.</w:t>
      </w:r>
      <w:r w:rsidR="007C1F93">
        <w:rPr>
          <w:szCs w:val="24"/>
        </w:rPr>
        <w:tab/>
      </w:r>
      <w:r w:rsidR="007C1F93" w:rsidRPr="00BB2803">
        <w:rPr>
          <w:szCs w:val="24"/>
        </w:rPr>
        <w:t xml:space="preserve">We believe that </w:t>
      </w:r>
      <w:r w:rsidR="004F2CAB">
        <w:rPr>
          <w:szCs w:val="24"/>
        </w:rPr>
        <w:t>these proposed reforms</w:t>
      </w:r>
      <w:r w:rsidR="007C1F93" w:rsidRPr="00BB2803">
        <w:rPr>
          <w:szCs w:val="24"/>
        </w:rPr>
        <w:t xml:space="preserve"> will </w:t>
      </w:r>
      <w:r w:rsidR="007C1F93">
        <w:rPr>
          <w:szCs w:val="24"/>
        </w:rPr>
        <w:t xml:space="preserve">lead to a significant increase in </w:t>
      </w:r>
      <w:r w:rsidR="007C1F93" w:rsidRPr="00BB2803">
        <w:rPr>
          <w:szCs w:val="24"/>
        </w:rPr>
        <w:t xml:space="preserve">the </w:t>
      </w:r>
      <w:r w:rsidR="009A4D6F">
        <w:rPr>
          <w:szCs w:val="24"/>
        </w:rPr>
        <w:t>value</w:t>
      </w:r>
      <w:r w:rsidR="009A4D6F" w:rsidRPr="00BB2803">
        <w:rPr>
          <w:szCs w:val="24"/>
        </w:rPr>
        <w:t xml:space="preserve"> </w:t>
      </w:r>
      <w:r w:rsidR="007C1F93" w:rsidRPr="00BB2803">
        <w:rPr>
          <w:szCs w:val="24"/>
        </w:rPr>
        <w:t xml:space="preserve">of vocational qualifications and </w:t>
      </w:r>
      <w:r w:rsidR="007C1F93">
        <w:rPr>
          <w:szCs w:val="24"/>
        </w:rPr>
        <w:t xml:space="preserve">help </w:t>
      </w:r>
      <w:r w:rsidR="007C1F93" w:rsidRPr="00BB2803">
        <w:rPr>
          <w:szCs w:val="24"/>
        </w:rPr>
        <w:t xml:space="preserve">students </w:t>
      </w:r>
      <w:r w:rsidR="007C1F93">
        <w:rPr>
          <w:szCs w:val="24"/>
        </w:rPr>
        <w:t>cho</w:t>
      </w:r>
      <w:r w:rsidR="00857501">
        <w:rPr>
          <w:szCs w:val="24"/>
        </w:rPr>
        <w:t>o</w:t>
      </w:r>
      <w:r w:rsidR="007C1F93">
        <w:rPr>
          <w:szCs w:val="24"/>
        </w:rPr>
        <w:t xml:space="preserve">se </w:t>
      </w:r>
      <w:r w:rsidR="007C1F93" w:rsidRPr="00BB2803">
        <w:rPr>
          <w:szCs w:val="24"/>
        </w:rPr>
        <w:t>courses which offer them genuine opportunities to progress post-1</w:t>
      </w:r>
      <w:r w:rsidR="007C1F93">
        <w:rPr>
          <w:szCs w:val="24"/>
        </w:rPr>
        <w:t>9</w:t>
      </w:r>
      <w:r w:rsidR="007C1F93" w:rsidRPr="00BB2803">
        <w:rPr>
          <w:szCs w:val="24"/>
        </w:rPr>
        <w:t xml:space="preserve">. </w:t>
      </w:r>
      <w:r w:rsidR="007C1F93">
        <w:rPr>
          <w:szCs w:val="24"/>
        </w:rPr>
        <w:t>The proposed timings are intended to maximise the benefit to students by acting as quickly as possible whilst minimising the risk that qualifications will not be available to students whil</w:t>
      </w:r>
      <w:r w:rsidR="00213B68">
        <w:rPr>
          <w:szCs w:val="24"/>
        </w:rPr>
        <w:t>e</w:t>
      </w:r>
      <w:r w:rsidR="007C1F93">
        <w:rPr>
          <w:szCs w:val="24"/>
        </w:rPr>
        <w:t xml:space="preserve"> they are being redeveloped. </w:t>
      </w:r>
    </w:p>
    <w:p w14:paraId="625C5010" w14:textId="77777777" w:rsidR="007C1F93" w:rsidRDefault="007C1F93" w:rsidP="007C1F93">
      <w:pPr>
        <w:ind w:left="720" w:hanging="720"/>
        <w:rPr>
          <w:szCs w:val="24"/>
        </w:rPr>
      </w:pPr>
    </w:p>
    <w:p w14:paraId="0A785ECA" w14:textId="0EB1BCA7" w:rsidR="007C1F93" w:rsidRPr="00BB2803" w:rsidRDefault="00A468C2" w:rsidP="007C1F93">
      <w:pPr>
        <w:ind w:left="720" w:hanging="720"/>
        <w:rPr>
          <w:szCs w:val="24"/>
        </w:rPr>
      </w:pPr>
      <w:r>
        <w:rPr>
          <w:szCs w:val="24"/>
        </w:rPr>
        <w:t>6</w:t>
      </w:r>
      <w:r w:rsidR="007C1F93">
        <w:rPr>
          <w:szCs w:val="24"/>
        </w:rPr>
        <w:t>.2</w:t>
      </w:r>
      <w:r>
        <w:rPr>
          <w:szCs w:val="24"/>
        </w:rPr>
        <w:t>.</w:t>
      </w:r>
      <w:r w:rsidR="007C1F93">
        <w:rPr>
          <w:szCs w:val="24"/>
        </w:rPr>
        <w:tab/>
      </w:r>
      <w:r w:rsidR="007C1F93" w:rsidRPr="00BB2803">
        <w:rPr>
          <w:szCs w:val="24"/>
        </w:rPr>
        <w:t xml:space="preserve">To ensure we are taking on board views from those who have an interest in these changes, we are </w:t>
      </w:r>
      <w:r w:rsidR="007C1F93">
        <w:rPr>
          <w:szCs w:val="24"/>
        </w:rPr>
        <w:t xml:space="preserve">also </w:t>
      </w:r>
      <w:r w:rsidR="007C1F93" w:rsidRPr="00BB2803">
        <w:rPr>
          <w:szCs w:val="24"/>
        </w:rPr>
        <w:t>meeting and consulting with key groups and representatives from schools, colleges,</w:t>
      </w:r>
      <w:r w:rsidR="007C1F93">
        <w:rPr>
          <w:szCs w:val="24"/>
        </w:rPr>
        <w:t xml:space="preserve"> universities, employers,</w:t>
      </w:r>
      <w:r w:rsidR="007C1F93" w:rsidRPr="00BB2803">
        <w:rPr>
          <w:szCs w:val="24"/>
        </w:rPr>
        <w:t xml:space="preserve"> </w:t>
      </w:r>
      <w:r w:rsidR="007C1F93">
        <w:rPr>
          <w:szCs w:val="24"/>
        </w:rPr>
        <w:t>a</w:t>
      </w:r>
      <w:r w:rsidR="007C1F93" w:rsidRPr="00BB2803">
        <w:rPr>
          <w:szCs w:val="24"/>
        </w:rPr>
        <w:t xml:space="preserve">warding </w:t>
      </w:r>
      <w:r w:rsidR="007C1F93">
        <w:rPr>
          <w:szCs w:val="24"/>
        </w:rPr>
        <w:t>o</w:t>
      </w:r>
      <w:r w:rsidR="007C1F93" w:rsidRPr="00BB2803">
        <w:rPr>
          <w:szCs w:val="24"/>
        </w:rPr>
        <w:t xml:space="preserve">rganisations and Ofqual during the spring. </w:t>
      </w:r>
    </w:p>
    <w:p w14:paraId="46D93137" w14:textId="77777777" w:rsidR="007C1F93" w:rsidRPr="00BB2803" w:rsidRDefault="007C1F93" w:rsidP="007C1F93">
      <w:pPr>
        <w:rPr>
          <w:i/>
          <w:szCs w:val="24"/>
        </w:rPr>
      </w:pPr>
    </w:p>
    <w:p w14:paraId="1541EFE9" w14:textId="67F5CA03" w:rsidR="007C1F93" w:rsidRPr="00BB2803" w:rsidRDefault="00A468C2" w:rsidP="007C1F93">
      <w:pPr>
        <w:ind w:left="720" w:hanging="720"/>
        <w:rPr>
          <w:szCs w:val="24"/>
        </w:rPr>
      </w:pPr>
      <w:r>
        <w:rPr>
          <w:szCs w:val="24"/>
        </w:rPr>
        <w:t>6</w:t>
      </w:r>
      <w:r w:rsidR="007C1F93">
        <w:rPr>
          <w:szCs w:val="24"/>
        </w:rPr>
        <w:t>.3.</w:t>
      </w:r>
      <w:r w:rsidR="007C1F93">
        <w:rPr>
          <w:szCs w:val="24"/>
        </w:rPr>
        <w:tab/>
        <w:t xml:space="preserve">In </w:t>
      </w:r>
      <w:r w:rsidR="00380CB6">
        <w:rPr>
          <w:szCs w:val="24"/>
        </w:rPr>
        <w:t>June</w:t>
      </w:r>
      <w:r w:rsidR="007C1F93">
        <w:rPr>
          <w:szCs w:val="24"/>
        </w:rPr>
        <w:t xml:space="preserve"> as part of the response to </w:t>
      </w:r>
      <w:r w:rsidR="00827C4C">
        <w:rPr>
          <w:szCs w:val="24"/>
        </w:rPr>
        <w:t>this consultation</w:t>
      </w:r>
      <w:r w:rsidR="007C1F93" w:rsidRPr="00BB2803">
        <w:rPr>
          <w:szCs w:val="24"/>
        </w:rPr>
        <w:t xml:space="preserve"> we will publish the final process under which qualifications will be assessed, and invite </w:t>
      </w:r>
      <w:r w:rsidR="007C1F93">
        <w:rPr>
          <w:szCs w:val="24"/>
        </w:rPr>
        <w:t>a</w:t>
      </w:r>
      <w:r w:rsidR="007C1F93" w:rsidRPr="00BB2803">
        <w:rPr>
          <w:szCs w:val="24"/>
        </w:rPr>
        <w:t xml:space="preserve">warding </w:t>
      </w:r>
      <w:r w:rsidR="007C1F93">
        <w:rPr>
          <w:szCs w:val="24"/>
        </w:rPr>
        <w:t>o</w:t>
      </w:r>
      <w:r w:rsidR="007C1F93" w:rsidRPr="00BB2803">
        <w:rPr>
          <w:szCs w:val="24"/>
        </w:rPr>
        <w:t xml:space="preserve">rganisations to submit the necessary information.  </w:t>
      </w:r>
    </w:p>
    <w:p w14:paraId="1D9D8AD3" w14:textId="77777777" w:rsidR="007C1F93" w:rsidRPr="00BB2803" w:rsidRDefault="007C1F93" w:rsidP="007C1F93">
      <w:pPr>
        <w:rPr>
          <w:szCs w:val="24"/>
        </w:rPr>
      </w:pPr>
    </w:p>
    <w:p w14:paraId="71A14FB2" w14:textId="1A33468F" w:rsidR="004E7AA0" w:rsidRDefault="00A468C2" w:rsidP="007C1F93">
      <w:pPr>
        <w:ind w:left="720" w:hanging="720"/>
        <w:rPr>
          <w:szCs w:val="24"/>
        </w:rPr>
      </w:pPr>
      <w:r>
        <w:rPr>
          <w:szCs w:val="24"/>
        </w:rPr>
        <w:t>6</w:t>
      </w:r>
      <w:r w:rsidR="007C1F93">
        <w:rPr>
          <w:szCs w:val="24"/>
        </w:rPr>
        <w:t>.4.</w:t>
      </w:r>
      <w:r w:rsidR="007C1F93">
        <w:rPr>
          <w:szCs w:val="24"/>
        </w:rPr>
        <w:tab/>
      </w:r>
      <w:r w:rsidR="007C1F93" w:rsidRPr="00BB2803">
        <w:rPr>
          <w:szCs w:val="24"/>
        </w:rPr>
        <w:t xml:space="preserve">To ensure that institutions have sufficient time to adjust to these changes, and to help them with their planning, </w:t>
      </w:r>
      <w:r w:rsidR="007C1F93">
        <w:rPr>
          <w:szCs w:val="24"/>
        </w:rPr>
        <w:t xml:space="preserve">in </w:t>
      </w:r>
      <w:r w:rsidR="004F2CAB">
        <w:rPr>
          <w:szCs w:val="24"/>
        </w:rPr>
        <w:t>November</w:t>
      </w:r>
      <w:r w:rsidR="007C1F93">
        <w:rPr>
          <w:szCs w:val="24"/>
        </w:rPr>
        <w:t xml:space="preserve"> </w:t>
      </w:r>
      <w:r w:rsidR="007C1F93" w:rsidRPr="00BB2803">
        <w:rPr>
          <w:szCs w:val="24"/>
        </w:rPr>
        <w:t xml:space="preserve">we intend to publish the list of qualifications which meet the standard and will count for courses starting in the following academic year.  We will also publish experimental data in 2014, to show institutions how their 2013 results would have been different if the list had been in effect. </w:t>
      </w:r>
    </w:p>
    <w:p w14:paraId="3FA76302" w14:textId="77777777" w:rsidR="00A468C2" w:rsidRDefault="00A468C2" w:rsidP="007C1F93">
      <w:pPr>
        <w:ind w:left="720" w:hanging="720"/>
        <w:rPr>
          <w:szCs w:val="24"/>
        </w:rPr>
      </w:pPr>
    </w:p>
    <w:p w14:paraId="2F119A37" w14:textId="56299FDE" w:rsidR="0071219D" w:rsidRDefault="00A468C2" w:rsidP="0071219D">
      <w:pPr>
        <w:ind w:left="720" w:hanging="720"/>
      </w:pPr>
      <w:r>
        <w:rPr>
          <w:szCs w:val="24"/>
        </w:rPr>
        <w:t>6</w:t>
      </w:r>
      <w:r w:rsidR="004E7AA0">
        <w:rPr>
          <w:szCs w:val="24"/>
        </w:rPr>
        <w:t>.5.</w:t>
      </w:r>
      <w:r w:rsidR="004E7AA0">
        <w:rPr>
          <w:szCs w:val="24"/>
        </w:rPr>
        <w:tab/>
      </w:r>
      <w:r w:rsidR="0071219D">
        <w:t xml:space="preserve">The accountability system for post-16 providers will be considered in a separate consultation, </w:t>
      </w:r>
      <w:r w:rsidR="00F56C3F">
        <w:t>which will be published later this year</w:t>
      </w:r>
      <w:r w:rsidR="0071219D">
        <w:t>. It will focus on reform of 16-19 performance tables and minimum standards, and the separate measurement of performance in each of the three categories of qualification proposed in this consultation.</w:t>
      </w:r>
    </w:p>
    <w:p w14:paraId="7EEBEAA7" w14:textId="64EB39B4" w:rsidR="004E7AA0" w:rsidRDefault="004E7AA0" w:rsidP="004E7AA0">
      <w:pPr>
        <w:ind w:left="720" w:hanging="720"/>
        <w:rPr>
          <w:szCs w:val="24"/>
        </w:rPr>
      </w:pPr>
    </w:p>
    <w:p w14:paraId="1C2887A4" w14:textId="77777777" w:rsidR="004E7AA0" w:rsidRPr="00BB2803" w:rsidRDefault="004E7AA0" w:rsidP="007C1F93">
      <w:pPr>
        <w:ind w:left="720" w:hanging="720"/>
        <w:rPr>
          <w:szCs w:val="24"/>
        </w:rPr>
      </w:pPr>
    </w:p>
    <w:p w14:paraId="2562ACF9" w14:textId="57FD3C2C" w:rsidR="004E7AA0" w:rsidRDefault="004E7AA0" w:rsidP="007C1F93">
      <w:pPr>
        <w:rPr>
          <w:szCs w:val="24"/>
        </w:rPr>
      </w:pPr>
    </w:p>
    <w:p w14:paraId="2341B193" w14:textId="2FC2EB03" w:rsidR="007C1F93" w:rsidRPr="00662B79" w:rsidRDefault="007C1F93" w:rsidP="00662B79">
      <w:pPr>
        <w:autoSpaceDE w:val="0"/>
        <w:autoSpaceDN w:val="0"/>
      </w:pPr>
      <w:r w:rsidRPr="00BB2803">
        <w:rPr>
          <w:szCs w:val="24"/>
        </w:rPr>
        <w:t xml:space="preserve">If you have any comments on how we could improve the proposals in this document please email us: </w:t>
      </w:r>
      <w:hyperlink r:id="rId15" w:history="1">
        <w:r w:rsidR="00662B79">
          <w:rPr>
            <w:rStyle w:val="Hyperlink"/>
          </w:rPr>
          <w:t>16-19vq.CONSULTATION@education.gsi.gov.uk</w:t>
        </w:r>
      </w:hyperlink>
    </w:p>
    <w:p w14:paraId="2A46179D" w14:textId="77777777" w:rsidR="007C1F93" w:rsidRPr="00BB2803" w:rsidRDefault="007C1F93" w:rsidP="007C1F93">
      <w:pPr>
        <w:rPr>
          <w:szCs w:val="24"/>
        </w:rPr>
      </w:pPr>
    </w:p>
    <w:p w14:paraId="5E04B940" w14:textId="24DE6713" w:rsidR="007C1F93" w:rsidRDefault="007C1F93" w:rsidP="007C1F93">
      <w:pPr>
        <w:rPr>
          <w:szCs w:val="24"/>
        </w:rPr>
      </w:pPr>
      <w:r w:rsidRPr="00BB2803">
        <w:rPr>
          <w:szCs w:val="24"/>
        </w:rPr>
        <w:t>The closing date for comments is</w:t>
      </w:r>
      <w:r w:rsidRPr="00E44EC3">
        <w:rPr>
          <w:b/>
          <w:szCs w:val="24"/>
        </w:rPr>
        <w:t xml:space="preserve"> </w:t>
      </w:r>
      <w:r w:rsidR="00E44EC3" w:rsidRPr="00E44EC3">
        <w:rPr>
          <w:b/>
          <w:szCs w:val="24"/>
        </w:rPr>
        <w:t>10</w:t>
      </w:r>
      <w:r w:rsidR="00E44EC3" w:rsidRPr="00E44EC3">
        <w:rPr>
          <w:b/>
          <w:szCs w:val="24"/>
          <w:vertAlign w:val="superscript"/>
        </w:rPr>
        <w:t>th</w:t>
      </w:r>
      <w:r w:rsidR="00E44EC3">
        <w:rPr>
          <w:szCs w:val="24"/>
        </w:rPr>
        <w:t xml:space="preserve"> </w:t>
      </w:r>
      <w:r w:rsidR="00E44EC3">
        <w:rPr>
          <w:b/>
          <w:szCs w:val="24"/>
        </w:rPr>
        <w:t>May</w:t>
      </w:r>
      <w:r w:rsidR="0059603D" w:rsidRPr="00B942C0">
        <w:rPr>
          <w:b/>
          <w:szCs w:val="24"/>
        </w:rPr>
        <w:t xml:space="preserve"> </w:t>
      </w:r>
      <w:r w:rsidRPr="00B942C0">
        <w:rPr>
          <w:b/>
          <w:szCs w:val="24"/>
        </w:rPr>
        <w:t>2013</w:t>
      </w:r>
      <w:r w:rsidRPr="00BB2803">
        <w:rPr>
          <w:szCs w:val="24"/>
        </w:rPr>
        <w:t xml:space="preserve">. </w:t>
      </w:r>
    </w:p>
    <w:p w14:paraId="338653D1" w14:textId="77777777" w:rsidR="007C1F93" w:rsidRDefault="007C1F93" w:rsidP="007C1F93">
      <w:pPr>
        <w:rPr>
          <w:color w:val="FF0000"/>
          <w:szCs w:val="24"/>
        </w:rPr>
      </w:pPr>
    </w:p>
    <w:p w14:paraId="434A4640" w14:textId="24A8C5B6" w:rsidR="00D504A8" w:rsidRDefault="00D504A8">
      <w:pPr>
        <w:rPr>
          <w:color w:val="FF0000"/>
          <w:szCs w:val="24"/>
        </w:rPr>
      </w:pPr>
      <w:r>
        <w:rPr>
          <w:color w:val="FF0000"/>
          <w:szCs w:val="24"/>
        </w:rPr>
        <w:br w:type="page"/>
      </w:r>
    </w:p>
    <w:p w14:paraId="79B5A3EA" w14:textId="77777777" w:rsidR="007C1F93" w:rsidRDefault="007C1F93" w:rsidP="007C1F93">
      <w:pPr>
        <w:rPr>
          <w:color w:val="FF0000"/>
          <w:szCs w:val="24"/>
        </w:rPr>
      </w:pPr>
    </w:p>
    <w:p w14:paraId="1375F07A" w14:textId="07E5DBFC" w:rsidR="007C1F93" w:rsidRDefault="007C1F93" w:rsidP="007C1F93">
      <w:pPr>
        <w:jc w:val="center"/>
        <w:rPr>
          <w:color w:val="FF0000"/>
          <w:szCs w:val="24"/>
        </w:rPr>
      </w:pPr>
      <w:r>
        <w:rPr>
          <w:noProof/>
          <w:color w:val="FF0000"/>
          <w:szCs w:val="24"/>
          <w:lang w:eastAsia="en-GB"/>
        </w:rPr>
        <w:drawing>
          <wp:inline distT="0" distB="0" distL="0" distR="0" wp14:anchorId="71524487" wp14:editId="12F97ABA">
            <wp:extent cx="3377565" cy="372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7565" cy="372110"/>
                    </a:xfrm>
                    <a:prstGeom prst="rect">
                      <a:avLst/>
                    </a:prstGeom>
                    <a:noFill/>
                  </pic:spPr>
                </pic:pic>
              </a:graphicData>
            </a:graphic>
          </wp:inline>
        </w:drawing>
      </w:r>
    </w:p>
    <w:p w14:paraId="13A30B33" w14:textId="3B62AD71" w:rsidR="003170CA" w:rsidRDefault="00F33ABE" w:rsidP="0059603D">
      <w:pPr>
        <w:ind w:left="-142" w:right="-144"/>
        <w:jc w:val="center"/>
        <w:rPr>
          <w:b/>
        </w:rPr>
      </w:pPr>
      <w:r>
        <w:rPr>
          <w:b/>
          <w:noProof/>
          <w:lang w:eastAsia="en-GB"/>
        </w:rPr>
        <w:drawing>
          <wp:inline distT="0" distB="0" distL="0" distR="0" wp14:anchorId="5FD93071" wp14:editId="5C491068">
            <wp:extent cx="5759450" cy="7298690"/>
            <wp:effectExtent l="0" t="0" r="0" b="0"/>
            <wp:docPr id="2" name="Picture 2" descr="C:\Users\skethero\AppData\Local\Microsoft\Windows\Temporary Internet Files\Content.Outlook\C14VOWJP\Flow chart 08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ethero\AppData\Local\Microsoft\Windows\Temporary Internet Files\Content.Outlook\C14VOWJP\Flow chart 0803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7298690"/>
                    </a:xfrm>
                    <a:prstGeom prst="rect">
                      <a:avLst/>
                    </a:prstGeom>
                    <a:noFill/>
                    <a:ln>
                      <a:noFill/>
                    </a:ln>
                  </pic:spPr>
                </pic:pic>
              </a:graphicData>
            </a:graphic>
          </wp:inline>
        </w:drawing>
      </w:r>
    </w:p>
    <w:sectPr w:rsidR="003170CA" w:rsidSect="00070CAA">
      <w:footerReference w:type="default" r:id="rId18"/>
      <w:pgSz w:w="11906" w:h="16838"/>
      <w:pgMar w:top="1134"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30B36" w14:textId="77777777" w:rsidR="004E7298" w:rsidRDefault="004E7298" w:rsidP="008155A3">
      <w:r>
        <w:separator/>
      </w:r>
    </w:p>
  </w:endnote>
  <w:endnote w:type="continuationSeparator" w:id="0">
    <w:p w14:paraId="13A30B37" w14:textId="77777777" w:rsidR="004E7298" w:rsidRDefault="004E7298" w:rsidP="0081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30B3A" w14:textId="77777777" w:rsidR="004E7298" w:rsidRDefault="004E7298">
    <w:pPr>
      <w:pStyle w:val="Footer"/>
      <w:jc w:val="right"/>
    </w:pPr>
    <w:r>
      <w:fldChar w:fldCharType="begin"/>
    </w:r>
    <w:r>
      <w:instrText xml:space="preserve"> PAGE   \* MERGEFORMAT </w:instrText>
    </w:r>
    <w:r>
      <w:fldChar w:fldCharType="separate"/>
    </w:r>
    <w:r w:rsidR="000562BE">
      <w:rPr>
        <w:noProof/>
      </w:rPr>
      <w:t>1</w:t>
    </w:r>
    <w:r>
      <w:rPr>
        <w:noProof/>
      </w:rPr>
      <w:fldChar w:fldCharType="end"/>
    </w:r>
  </w:p>
  <w:p w14:paraId="13A30B3B" w14:textId="77777777" w:rsidR="004E7298" w:rsidRDefault="004E7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30B34" w14:textId="77777777" w:rsidR="004E7298" w:rsidRDefault="004E7298" w:rsidP="008155A3">
      <w:r>
        <w:separator/>
      </w:r>
    </w:p>
  </w:footnote>
  <w:footnote w:type="continuationSeparator" w:id="0">
    <w:p w14:paraId="13A30B35" w14:textId="77777777" w:rsidR="004E7298" w:rsidRDefault="004E7298" w:rsidP="008155A3">
      <w:r>
        <w:continuationSeparator/>
      </w:r>
    </w:p>
  </w:footnote>
  <w:footnote w:id="1">
    <w:p w14:paraId="780DA790" w14:textId="372B463D" w:rsidR="004E7298" w:rsidRDefault="004E7298" w:rsidP="007C1F93">
      <w:pPr>
        <w:pStyle w:val="FootnoteText"/>
      </w:pPr>
      <w:r>
        <w:rPr>
          <w:rStyle w:val="FootnoteReference"/>
        </w:rPr>
        <w:footnoteRef/>
      </w:r>
      <w:r>
        <w:t xml:space="preserve"> Wolf. Review of Vocational Education- The Wolf Report, 2011. </w:t>
      </w:r>
      <w:hyperlink r:id="rId1" w:history="1">
        <w:r w:rsidRPr="007F392B">
          <w:rPr>
            <w:rStyle w:val="Hyperlink"/>
          </w:rPr>
          <w:t>https://www.education.gov.uk/publications/standard/publicationDetail/Page1/DFE-00031-2011</w:t>
        </w:r>
      </w:hyperlink>
    </w:p>
    <w:p w14:paraId="3EE23E17" w14:textId="77777777" w:rsidR="004E7298" w:rsidRDefault="004E7298" w:rsidP="007C1F93">
      <w:pPr>
        <w:pStyle w:val="FootnoteText"/>
      </w:pPr>
    </w:p>
  </w:footnote>
  <w:footnote w:id="2">
    <w:p w14:paraId="4C5F8243" w14:textId="77777777" w:rsidR="004E7298" w:rsidRPr="0048683D" w:rsidRDefault="004E7298" w:rsidP="001F17E4">
      <w:pPr>
        <w:pStyle w:val="Default"/>
        <w:rPr>
          <w:bCs/>
          <w:sz w:val="20"/>
          <w:szCs w:val="20"/>
        </w:rPr>
      </w:pPr>
      <w:r>
        <w:rPr>
          <w:rStyle w:val="FootnoteReference"/>
        </w:rPr>
        <w:footnoteRef/>
      </w:r>
      <w:r>
        <w:t xml:space="preserve"> </w:t>
      </w:r>
      <w:r w:rsidRPr="0048683D">
        <w:rPr>
          <w:sz w:val="20"/>
          <w:szCs w:val="20"/>
        </w:rPr>
        <w:t>D</w:t>
      </w:r>
      <w:r>
        <w:rPr>
          <w:sz w:val="20"/>
          <w:szCs w:val="20"/>
        </w:rPr>
        <w:t xml:space="preserve">epartment </w:t>
      </w:r>
      <w:r w:rsidRPr="0048683D">
        <w:rPr>
          <w:sz w:val="20"/>
          <w:szCs w:val="20"/>
        </w:rPr>
        <w:t>f</w:t>
      </w:r>
      <w:r>
        <w:rPr>
          <w:sz w:val="20"/>
          <w:szCs w:val="20"/>
        </w:rPr>
        <w:t xml:space="preserve">or </w:t>
      </w:r>
      <w:r w:rsidRPr="0048683D">
        <w:rPr>
          <w:sz w:val="20"/>
          <w:szCs w:val="20"/>
        </w:rPr>
        <w:t>E</w:t>
      </w:r>
      <w:r>
        <w:rPr>
          <w:sz w:val="20"/>
          <w:szCs w:val="20"/>
        </w:rPr>
        <w:t>ducation</w:t>
      </w:r>
      <w:r w:rsidRPr="0048683D">
        <w:rPr>
          <w:sz w:val="20"/>
          <w:szCs w:val="20"/>
        </w:rPr>
        <w:t xml:space="preserve">. </w:t>
      </w:r>
      <w:r w:rsidRPr="0048683D">
        <w:rPr>
          <w:bCs/>
          <w:sz w:val="20"/>
          <w:szCs w:val="20"/>
        </w:rPr>
        <w:t>16-19 Funding formula review, July 2012.</w:t>
      </w:r>
      <w:r>
        <w:rPr>
          <w:bCs/>
          <w:sz w:val="20"/>
          <w:szCs w:val="20"/>
        </w:rPr>
        <w:t xml:space="preserve"> </w:t>
      </w:r>
      <w:hyperlink r:id="rId2" w:history="1">
        <w:r w:rsidRPr="007F392B">
          <w:rPr>
            <w:rStyle w:val="Hyperlink"/>
            <w:bCs/>
            <w:sz w:val="20"/>
            <w:szCs w:val="20"/>
          </w:rPr>
          <w:t>http://www.education.gov.uk/childrenandyoungpeople/youngpeople/studentsupport/funding/a00210682/funding-formula-review</w:t>
        </w:r>
      </w:hyperlink>
    </w:p>
  </w:footnote>
  <w:footnote w:id="3">
    <w:p w14:paraId="069F0398" w14:textId="4CE9202E" w:rsidR="004E7298" w:rsidRDefault="004E7298" w:rsidP="007C1F93">
      <w:pPr>
        <w:pStyle w:val="FootnoteText"/>
      </w:pPr>
      <w:r w:rsidRPr="0068048F">
        <w:rPr>
          <w:rStyle w:val="FootnoteReference"/>
        </w:rPr>
        <w:footnoteRef/>
      </w:r>
      <w:r w:rsidRPr="0068048F">
        <w:t xml:space="preserve"> </w:t>
      </w:r>
      <w:r>
        <w:t xml:space="preserve">Department for Education. </w:t>
      </w:r>
      <w:r w:rsidRPr="0068048F">
        <w:rPr>
          <w:rFonts w:cs="Arial"/>
          <w:bCs/>
          <w:kern w:val="36"/>
        </w:rPr>
        <w:t>Study Programmes for 16-19 year olds - Government response to consultation and plans for implementation, Jun</w:t>
      </w:r>
      <w:r>
        <w:rPr>
          <w:rFonts w:cs="Arial"/>
          <w:bCs/>
          <w:kern w:val="36"/>
        </w:rPr>
        <w:t xml:space="preserve">e </w:t>
      </w:r>
      <w:r w:rsidRPr="0068048F">
        <w:rPr>
          <w:rFonts w:cs="Arial"/>
          <w:bCs/>
          <w:kern w:val="36"/>
        </w:rPr>
        <w:t>2012</w:t>
      </w:r>
      <w:r w:rsidRPr="0068048F">
        <w:t xml:space="preserve">. </w:t>
      </w:r>
      <w:hyperlink r:id="rId3" w:history="1">
        <w:r w:rsidRPr="007F392B">
          <w:rPr>
            <w:rStyle w:val="Hyperlink"/>
          </w:rPr>
          <w:t>https://www.education.gov.uk/publications/standard/publicationDetail/Page1/DFE-00069-2012</w:t>
        </w:r>
      </w:hyperlink>
    </w:p>
    <w:p w14:paraId="1D59A554" w14:textId="77777777" w:rsidR="004E7298" w:rsidRPr="0068048F" w:rsidRDefault="004E7298" w:rsidP="007C1F93">
      <w:pPr>
        <w:pStyle w:val="FootnoteText"/>
      </w:pPr>
    </w:p>
  </w:footnote>
  <w:footnote w:id="4">
    <w:p w14:paraId="6B57AE2B" w14:textId="77777777" w:rsidR="004E7298" w:rsidRDefault="004E7298" w:rsidP="005E56E3">
      <w:pPr>
        <w:pStyle w:val="FootnoteText"/>
      </w:pPr>
      <w:r>
        <w:rPr>
          <w:rStyle w:val="FootnoteReference"/>
        </w:rPr>
        <w:footnoteRef/>
      </w:r>
      <w:r>
        <w:t xml:space="preserve"> Richard. The Richard Review of Apprenticeships, November 2012. </w:t>
      </w:r>
      <w:hyperlink r:id="rId4" w:history="1">
        <w:r w:rsidRPr="007F392B">
          <w:rPr>
            <w:rStyle w:val="Hyperlink"/>
          </w:rPr>
          <w:t>http://www.schoolforstartups.co.uk/richard-review/richard-review-full.pdf</w:t>
        </w:r>
      </w:hyperlink>
    </w:p>
  </w:footnote>
  <w:footnote w:id="5">
    <w:p w14:paraId="546A2887" w14:textId="727266A2" w:rsidR="004E7298" w:rsidRDefault="004E7298">
      <w:pPr>
        <w:pStyle w:val="FootnoteText"/>
      </w:pPr>
      <w:r>
        <w:rPr>
          <w:rStyle w:val="FootnoteReference"/>
        </w:rPr>
        <w:footnoteRef/>
      </w:r>
      <w:r>
        <w:t xml:space="preserve"> Department for Education. Secondary School Accountability Consultation, February 2013.</w:t>
      </w:r>
    </w:p>
    <w:p w14:paraId="4A888566" w14:textId="3560EF9E" w:rsidR="004E7298" w:rsidRDefault="004E7298">
      <w:pPr>
        <w:pStyle w:val="FootnoteText"/>
      </w:pPr>
      <w:r w:rsidRPr="00ED19F2">
        <w:t>http://media.education.gov.uk/assets/files/pdf/s/secondary%20school%20accountability%20consultationdocument.pdf</w:t>
      </w:r>
    </w:p>
  </w:footnote>
  <w:footnote w:id="6">
    <w:p w14:paraId="0B96BAFD" w14:textId="3FECB03B" w:rsidR="004E7298" w:rsidRDefault="004E7298" w:rsidP="007C1F93">
      <w:pPr>
        <w:pStyle w:val="FootnoteText"/>
      </w:pPr>
      <w:r>
        <w:rPr>
          <w:rStyle w:val="FootnoteReference"/>
        </w:rPr>
        <w:footnoteRef/>
      </w:r>
      <w:r>
        <w:t xml:space="preserve"> Department for Education. National Pupil Database, 2011 </w:t>
      </w:r>
      <w:hyperlink r:id="rId5" w:history="1">
        <w:r w:rsidRPr="00CF53A8">
          <w:rPr>
            <w:rStyle w:val="Hyperlink"/>
          </w:rPr>
          <w:t>http://www.education.gov.uk/researchandstatistics/national-pupil-database</w:t>
        </w:r>
      </w:hyperlink>
    </w:p>
  </w:footnote>
  <w:footnote w:id="7">
    <w:p w14:paraId="30903934" w14:textId="67D139F0" w:rsidR="004E7298" w:rsidRPr="00EF1467" w:rsidRDefault="004E7298" w:rsidP="007C1F93">
      <w:pPr>
        <w:pStyle w:val="FootnoteText"/>
      </w:pPr>
      <w:r w:rsidRPr="00EF1467">
        <w:rPr>
          <w:rStyle w:val="FootnoteReference"/>
        </w:rPr>
        <w:footnoteRef/>
      </w:r>
      <w:r w:rsidRPr="00EF1467">
        <w:t xml:space="preserve"> </w:t>
      </w:r>
      <w:r>
        <w:rPr>
          <w:rFonts w:cs="Arial"/>
          <w:iCs/>
        </w:rPr>
        <w:t>Department for Education.</w:t>
      </w:r>
      <w:r w:rsidRPr="00652912">
        <w:rPr>
          <w:rFonts w:cs="Arial"/>
          <w:iCs/>
        </w:rPr>
        <w:t xml:space="preserve"> </w:t>
      </w:r>
      <w:r>
        <w:t xml:space="preserve">Statistical First Release- </w:t>
      </w:r>
      <w:r w:rsidRPr="00E27384">
        <w:t>Participation in Education, Training and Employment by 16-18</w:t>
      </w:r>
      <w:r>
        <w:t xml:space="preserve"> Year Olds in England, 2011</w:t>
      </w:r>
      <w:r w:rsidRPr="00E27384">
        <w:t xml:space="preserve"> </w:t>
      </w:r>
      <w:hyperlink r:id="rId6" w:history="1">
        <w:r w:rsidRPr="00CF53A8">
          <w:rPr>
            <w:rStyle w:val="Hyperlink"/>
          </w:rPr>
          <w:t>http://www.education.gov.uk/rsgateway/DB/SFR/s001072/index.shtml</w:t>
        </w:r>
      </w:hyperlink>
    </w:p>
  </w:footnote>
  <w:footnote w:id="8">
    <w:p w14:paraId="27EF49B2" w14:textId="3EF36C24" w:rsidR="004E7298" w:rsidRDefault="004E7298" w:rsidP="007C1F93">
      <w:pPr>
        <w:pStyle w:val="FootnoteText"/>
      </w:pPr>
      <w:r>
        <w:rPr>
          <w:rStyle w:val="FootnoteReference"/>
        </w:rPr>
        <w:footnoteRef/>
      </w:r>
      <w:r>
        <w:t xml:space="preserve"> </w:t>
      </w:r>
      <w:r>
        <w:rPr>
          <w:rFonts w:cs="Arial"/>
          <w:iCs/>
        </w:rPr>
        <w:t>Department for Education.</w:t>
      </w:r>
      <w:r w:rsidRPr="00652912">
        <w:rPr>
          <w:rFonts w:cs="Arial"/>
          <w:iCs/>
        </w:rPr>
        <w:t xml:space="preserve"> </w:t>
      </w:r>
      <w:r>
        <w:t xml:space="preserve">Statistical First Release- </w:t>
      </w:r>
      <w:r w:rsidRPr="00E27384">
        <w:t>Participation in Education, Training and Employment by 16-18</w:t>
      </w:r>
      <w:r>
        <w:t xml:space="preserve"> Year Olds in England, 2011</w:t>
      </w:r>
      <w:r w:rsidRPr="00E27384">
        <w:t xml:space="preserve"> </w:t>
      </w:r>
      <w:hyperlink r:id="rId7" w:history="1">
        <w:r w:rsidRPr="00CF53A8">
          <w:rPr>
            <w:rStyle w:val="Hyperlink"/>
          </w:rPr>
          <w:t>http://www.education.gov.uk/rsgateway/DB/SFR/s001072/index.shtml</w:t>
        </w:r>
      </w:hyperlink>
    </w:p>
  </w:footnote>
  <w:footnote w:id="9">
    <w:p w14:paraId="21EB0849" w14:textId="1DD1475B" w:rsidR="004E7298" w:rsidRDefault="004E7298" w:rsidP="007C1F93">
      <w:pPr>
        <w:pStyle w:val="FootnoteText"/>
      </w:pPr>
      <w:r>
        <w:rPr>
          <w:rStyle w:val="FootnoteReference"/>
        </w:rPr>
        <w:footnoteRef/>
      </w:r>
      <w:r>
        <w:t xml:space="preserve"> Office of National Statistics, 20 February 2013.</w:t>
      </w:r>
    </w:p>
  </w:footnote>
  <w:footnote w:id="10">
    <w:p w14:paraId="50A98B18" w14:textId="1E9F9E5D" w:rsidR="004E7298" w:rsidRDefault="004E7298" w:rsidP="007C1F93">
      <w:pPr>
        <w:pStyle w:val="FootnoteText"/>
      </w:pPr>
      <w:r>
        <w:rPr>
          <w:rStyle w:val="FootnoteReference"/>
        </w:rPr>
        <w:footnoteRef/>
      </w:r>
      <w:r>
        <w:t xml:space="preserve"> UKCES. Employer Skills Survey 2011: England Results. </w:t>
      </w:r>
    </w:p>
  </w:footnote>
  <w:footnote w:id="11">
    <w:p w14:paraId="134A08DD" w14:textId="5FE00405" w:rsidR="004E7298" w:rsidRDefault="004E7298" w:rsidP="007C1F93">
      <w:pPr>
        <w:pStyle w:val="FootnoteText"/>
      </w:pPr>
      <w:r>
        <w:rPr>
          <w:rStyle w:val="FootnoteReference"/>
        </w:rPr>
        <w:footnoteRef/>
      </w:r>
      <w:r>
        <w:t xml:space="preserve"> Department for Education.</w:t>
      </w:r>
      <w:r w:rsidRPr="00E27384">
        <w:t xml:space="preserve"> National Pupil Database</w:t>
      </w:r>
      <w:r>
        <w:t>,</w:t>
      </w:r>
      <w:r w:rsidRPr="00E27384">
        <w:t xml:space="preserve"> 2012 (provisional figures)</w:t>
      </w:r>
    </w:p>
  </w:footnote>
  <w:footnote w:id="12">
    <w:p w14:paraId="0C7D9F8B" w14:textId="765888D8" w:rsidR="004E7298" w:rsidRPr="00CF729C" w:rsidRDefault="004E7298" w:rsidP="0032323D">
      <w:pPr>
        <w:pStyle w:val="FootnoteText"/>
      </w:pPr>
      <w:r w:rsidRPr="00CF729C">
        <w:rPr>
          <w:rStyle w:val="FootnoteReference"/>
        </w:rPr>
        <w:footnoteRef/>
      </w:r>
      <w:r w:rsidRPr="00CF729C">
        <w:t xml:space="preserve"> The Wolf Report </w:t>
      </w:r>
      <w:r>
        <w:t>concluded, “at least 350,000 young people in a given 16-19 cohort are poorly served by current arrangements. Their programmes… fail to promote progression into either stable, paid employment or higher level education and training in a consistent or an effective way.”</w:t>
      </w:r>
      <w:r w:rsidRPr="00CF729C">
        <w:t xml:space="preserve"> </w:t>
      </w:r>
      <w:r>
        <w:t>(p.21)</w:t>
      </w:r>
    </w:p>
  </w:footnote>
  <w:footnote w:id="13">
    <w:p w14:paraId="49E91A74" w14:textId="77777777" w:rsidR="004E7298" w:rsidRDefault="004E7298" w:rsidP="007C1F93">
      <w:pPr>
        <w:pStyle w:val="FootnoteText"/>
      </w:pPr>
      <w:r>
        <w:rPr>
          <w:rStyle w:val="FootnoteReference"/>
        </w:rPr>
        <w:footnoteRef/>
      </w:r>
      <w:r>
        <w:t xml:space="preserve"> Sector Subject Area Classification System, </w:t>
      </w:r>
      <w:hyperlink r:id="rId8" w:history="1">
        <w:r w:rsidRPr="00700DAA">
          <w:rPr>
            <w:rStyle w:val="Hyperlink"/>
          </w:rPr>
          <w:t>http://www2.ofqual.gov.uk/standards/142-statistics-articles/429-sector-subject-area-classification-system-ssac</w:t>
        </w:r>
      </w:hyperlink>
    </w:p>
    <w:p w14:paraId="0EA8B134" w14:textId="77777777" w:rsidR="004E7298" w:rsidRDefault="004E7298" w:rsidP="007C1F93">
      <w:pPr>
        <w:pStyle w:val="FootnoteText"/>
      </w:pPr>
    </w:p>
  </w:footnote>
  <w:footnote w:id="14">
    <w:p w14:paraId="78A2E24B" w14:textId="77777777" w:rsidR="004E7298" w:rsidRDefault="004E7298" w:rsidP="007C1F93">
      <w:pPr>
        <w:pStyle w:val="FootnoteText"/>
      </w:pPr>
      <w:r>
        <w:rPr>
          <w:rStyle w:val="FootnoteReference"/>
        </w:rPr>
        <w:footnoteRef/>
      </w:r>
      <w:r>
        <w:t xml:space="preserve">  Wolf. Review of Vocational Education- The Wolf Report, 2011. p114</w:t>
      </w:r>
    </w:p>
  </w:footnote>
  <w:footnote w:id="15">
    <w:p w14:paraId="1BD03F40" w14:textId="77777777" w:rsidR="004E7298" w:rsidRDefault="004E7298" w:rsidP="007C1F93">
      <w:pPr>
        <w:pStyle w:val="FootnoteText"/>
      </w:pPr>
      <w:r>
        <w:rPr>
          <w:rStyle w:val="FootnoteReference"/>
        </w:rPr>
        <w:footnoteRef/>
      </w:r>
      <w:r>
        <w:t xml:space="preserve"> Ofqual. Regulatory arrangements for component and Diploma awarding bodies, March 2010</w:t>
      </w:r>
    </w:p>
    <w:p w14:paraId="1F173239" w14:textId="77777777" w:rsidR="004E7298" w:rsidRDefault="000562BE" w:rsidP="007C1F93">
      <w:pPr>
        <w:pStyle w:val="FootnoteText"/>
      </w:pPr>
      <w:hyperlink r:id="rId9" w:history="1">
        <w:r w:rsidR="004E7298" w:rsidRPr="00700DAA">
          <w:rPr>
            <w:rStyle w:val="Hyperlink"/>
          </w:rPr>
          <w:t>http://comment.ofqual.gov.uk/diploma-operating-rules/part-2/operating-rules-for-principal-learning-and-project-component-awarding-bodies/section-3-assessment-of-principal-learning-and-the-project</w:t>
        </w:r>
      </w:hyperlink>
    </w:p>
    <w:p w14:paraId="57EE827B" w14:textId="77777777" w:rsidR="004E7298" w:rsidRDefault="004E7298" w:rsidP="007C1F93">
      <w:pPr>
        <w:pStyle w:val="FootnoteText"/>
      </w:pPr>
    </w:p>
  </w:footnote>
  <w:footnote w:id="16">
    <w:p w14:paraId="7410975A" w14:textId="016BAE0B" w:rsidR="004E7298" w:rsidRDefault="004E7298" w:rsidP="007C1F93">
      <w:pPr>
        <w:pStyle w:val="FootnoteText"/>
      </w:pPr>
      <w:r>
        <w:rPr>
          <w:rStyle w:val="FootnoteReference"/>
        </w:rPr>
        <w:footnoteRef/>
      </w:r>
      <w:r>
        <w:t xml:space="preserve"> </w:t>
      </w:r>
      <w:r w:rsidRPr="00E03858">
        <w:t xml:space="preserve">Study Programmes for 16-19 year olds </w:t>
      </w:r>
      <w:r>
        <w:t>–</w:t>
      </w:r>
      <w:r w:rsidRPr="00E03858">
        <w:t xml:space="preserve"> Government response to consultation and plans for implementation. </w:t>
      </w:r>
      <w:hyperlink r:id="rId10" w:history="1">
        <w:r w:rsidRPr="00700DAA">
          <w:rPr>
            <w:rStyle w:val="Hyperlink"/>
          </w:rPr>
          <w:t>http://www.education.gov.uk/schools/teachingandlearning/curriculum/a00210755/16-19-study-programmes</w:t>
        </w:r>
      </w:hyperlink>
    </w:p>
    <w:p w14:paraId="3B8B3C66" w14:textId="77777777" w:rsidR="004E7298" w:rsidRDefault="004E7298" w:rsidP="007C1F93">
      <w:pPr>
        <w:pStyle w:val="FootnoteText"/>
      </w:pPr>
    </w:p>
  </w:footnote>
  <w:footnote w:id="17">
    <w:p w14:paraId="21DE6EEA" w14:textId="77777777" w:rsidR="004E7298" w:rsidRDefault="004E7298" w:rsidP="007C1F93">
      <w:pPr>
        <w:rPr>
          <w:color w:val="FF0000"/>
          <w:sz w:val="22"/>
          <w:szCs w:val="22"/>
        </w:rPr>
      </w:pPr>
      <w:r>
        <w:rPr>
          <w:rStyle w:val="FootnoteReference"/>
        </w:rPr>
        <w:footnoteRef/>
      </w:r>
      <w:r>
        <w:t xml:space="preserve"> </w:t>
      </w:r>
      <w:hyperlink r:id="rId11" w:history="1">
        <w:r w:rsidRPr="002F18B8">
          <w:rPr>
            <w:rStyle w:val="Hyperlink"/>
            <w:sz w:val="22"/>
            <w:szCs w:val="22"/>
          </w:rPr>
          <w:t>http://skillsfundingagency.bis.gov.uk/training/Adult+Entitlement+to+Learning.htm</w:t>
        </w:r>
      </w:hyperlink>
    </w:p>
    <w:p w14:paraId="6D51C6B2" w14:textId="77777777" w:rsidR="004E7298" w:rsidRDefault="004E7298" w:rsidP="007C1F9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BE6"/>
    <w:multiLevelType w:val="multilevel"/>
    <w:tmpl w:val="0728C85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0E6EC6"/>
    <w:multiLevelType w:val="hybridMultilevel"/>
    <w:tmpl w:val="EB64E1C0"/>
    <w:lvl w:ilvl="0" w:tplc="5B6E164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CA6F5E"/>
    <w:multiLevelType w:val="hybridMultilevel"/>
    <w:tmpl w:val="AEAC8378"/>
    <w:lvl w:ilvl="0" w:tplc="C866A91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95D741E"/>
    <w:multiLevelType w:val="hybridMultilevel"/>
    <w:tmpl w:val="FAB0E640"/>
    <w:lvl w:ilvl="0" w:tplc="C762A890">
      <w:start w:val="1"/>
      <w:numFmt w:val="decimal"/>
      <w:lvlText w:val="3.%1."/>
      <w:lvlJc w:val="left"/>
      <w:pPr>
        <w:ind w:left="1080" w:hanging="360"/>
      </w:pPr>
      <w:rPr>
        <w:rFonts w:hint="default"/>
      </w:rPr>
    </w:lvl>
    <w:lvl w:ilvl="1" w:tplc="1AF8036A">
      <w:numFmt w:val="bullet"/>
      <w:lvlText w:val="-"/>
      <w:lvlJc w:val="left"/>
      <w:pPr>
        <w:ind w:left="1800" w:hanging="360"/>
      </w:pPr>
      <w:rPr>
        <w:rFonts w:ascii="Arial" w:eastAsia="Calibr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B1A14B0"/>
    <w:multiLevelType w:val="hybridMultilevel"/>
    <w:tmpl w:val="D3528A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5">
    <w:nsid w:val="0DDC6531"/>
    <w:multiLevelType w:val="hybridMultilevel"/>
    <w:tmpl w:val="CFEAD22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7">
    <w:nsid w:val="19F63747"/>
    <w:multiLevelType w:val="hybridMultilevel"/>
    <w:tmpl w:val="A3E07C22"/>
    <w:lvl w:ilvl="0" w:tplc="0809001B">
      <w:start w:val="1"/>
      <w:numFmt w:val="lowerRoman"/>
      <w:lvlText w:val="%1."/>
      <w:lvlJc w:val="right"/>
      <w:pPr>
        <w:ind w:left="360" w:hanging="360"/>
      </w:pPr>
    </w:lvl>
    <w:lvl w:ilvl="1" w:tplc="08090019">
      <w:start w:val="1"/>
      <w:numFmt w:val="lowerLetter"/>
      <w:lvlText w:val="%2."/>
      <w:lvlJc w:val="left"/>
      <w:pPr>
        <w:ind w:left="1156" w:hanging="360"/>
      </w:pPr>
      <w:rPr>
        <w:rFonts w:cs="Times New Roman"/>
      </w:rPr>
    </w:lvl>
    <w:lvl w:ilvl="2" w:tplc="0809001B" w:tentative="1">
      <w:start w:val="1"/>
      <w:numFmt w:val="lowerRoman"/>
      <w:lvlText w:val="%3."/>
      <w:lvlJc w:val="right"/>
      <w:pPr>
        <w:ind w:left="1876" w:hanging="180"/>
      </w:pPr>
      <w:rPr>
        <w:rFonts w:cs="Times New Roman"/>
      </w:rPr>
    </w:lvl>
    <w:lvl w:ilvl="3" w:tplc="0809000F" w:tentative="1">
      <w:start w:val="1"/>
      <w:numFmt w:val="decimal"/>
      <w:lvlText w:val="%4."/>
      <w:lvlJc w:val="left"/>
      <w:pPr>
        <w:ind w:left="2596" w:hanging="360"/>
      </w:pPr>
      <w:rPr>
        <w:rFonts w:cs="Times New Roman"/>
      </w:rPr>
    </w:lvl>
    <w:lvl w:ilvl="4" w:tplc="08090019" w:tentative="1">
      <w:start w:val="1"/>
      <w:numFmt w:val="lowerLetter"/>
      <w:lvlText w:val="%5."/>
      <w:lvlJc w:val="left"/>
      <w:pPr>
        <w:ind w:left="3316" w:hanging="360"/>
      </w:pPr>
      <w:rPr>
        <w:rFonts w:cs="Times New Roman"/>
      </w:rPr>
    </w:lvl>
    <w:lvl w:ilvl="5" w:tplc="0809001B" w:tentative="1">
      <w:start w:val="1"/>
      <w:numFmt w:val="lowerRoman"/>
      <w:lvlText w:val="%6."/>
      <w:lvlJc w:val="right"/>
      <w:pPr>
        <w:ind w:left="4036" w:hanging="180"/>
      </w:pPr>
      <w:rPr>
        <w:rFonts w:cs="Times New Roman"/>
      </w:rPr>
    </w:lvl>
    <w:lvl w:ilvl="6" w:tplc="0809000F" w:tentative="1">
      <w:start w:val="1"/>
      <w:numFmt w:val="decimal"/>
      <w:lvlText w:val="%7."/>
      <w:lvlJc w:val="left"/>
      <w:pPr>
        <w:ind w:left="4756" w:hanging="360"/>
      </w:pPr>
      <w:rPr>
        <w:rFonts w:cs="Times New Roman"/>
      </w:rPr>
    </w:lvl>
    <w:lvl w:ilvl="7" w:tplc="08090019" w:tentative="1">
      <w:start w:val="1"/>
      <w:numFmt w:val="lowerLetter"/>
      <w:lvlText w:val="%8."/>
      <w:lvlJc w:val="left"/>
      <w:pPr>
        <w:ind w:left="5476" w:hanging="360"/>
      </w:pPr>
      <w:rPr>
        <w:rFonts w:cs="Times New Roman"/>
      </w:rPr>
    </w:lvl>
    <w:lvl w:ilvl="8" w:tplc="0809001B" w:tentative="1">
      <w:start w:val="1"/>
      <w:numFmt w:val="lowerRoman"/>
      <w:lvlText w:val="%9."/>
      <w:lvlJc w:val="right"/>
      <w:pPr>
        <w:ind w:left="6196" w:hanging="180"/>
      </w:pPr>
      <w:rPr>
        <w:rFonts w:cs="Times New Roman"/>
      </w:rPr>
    </w:lvl>
  </w:abstractNum>
  <w:abstractNum w:abstractNumId="8">
    <w:nsid w:val="20470930"/>
    <w:multiLevelType w:val="hybridMultilevel"/>
    <w:tmpl w:val="40FECB4A"/>
    <w:lvl w:ilvl="0" w:tplc="192C0B6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9923E0"/>
    <w:multiLevelType w:val="hybridMultilevel"/>
    <w:tmpl w:val="EFBA71CE"/>
    <w:lvl w:ilvl="0" w:tplc="08090001">
      <w:start w:val="1"/>
      <w:numFmt w:val="bullet"/>
      <w:lvlText w:val=""/>
      <w:lvlJc w:val="left"/>
      <w:pPr>
        <w:ind w:left="1080" w:hanging="360"/>
      </w:pPr>
      <w:rPr>
        <w:rFonts w:ascii="Symbol" w:hAnsi="Symbol" w:hint="default"/>
      </w:rPr>
    </w:lvl>
    <w:lvl w:ilvl="1" w:tplc="1AF8036A">
      <w:numFmt w:val="bullet"/>
      <w:lvlText w:val="-"/>
      <w:lvlJc w:val="left"/>
      <w:pPr>
        <w:ind w:left="1800" w:hanging="360"/>
      </w:pPr>
      <w:rPr>
        <w:rFonts w:ascii="Arial" w:eastAsia="Calibr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E923F8"/>
    <w:multiLevelType w:val="hybridMultilevel"/>
    <w:tmpl w:val="B2CE0A00"/>
    <w:lvl w:ilvl="0" w:tplc="CD98B824">
      <w:start w:val="1"/>
      <w:numFmt w:val="decimal"/>
      <w:lvlText w:val="5.%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nsid w:val="27DF560F"/>
    <w:multiLevelType w:val="hybridMultilevel"/>
    <w:tmpl w:val="CC5C86B0"/>
    <w:lvl w:ilvl="0" w:tplc="480C4D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E76F47"/>
    <w:multiLevelType w:val="hybridMultilevel"/>
    <w:tmpl w:val="1A42DB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363ADD"/>
    <w:multiLevelType w:val="hybridMultilevel"/>
    <w:tmpl w:val="C372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CD3033"/>
    <w:multiLevelType w:val="multilevel"/>
    <w:tmpl w:val="965A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7A7C88"/>
    <w:multiLevelType w:val="multilevel"/>
    <w:tmpl w:val="6664832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5245AB8"/>
    <w:multiLevelType w:val="hybridMultilevel"/>
    <w:tmpl w:val="865AC710"/>
    <w:lvl w:ilvl="0" w:tplc="6EAE6CC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7D11396"/>
    <w:multiLevelType w:val="hybridMultilevel"/>
    <w:tmpl w:val="0A0005CC"/>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487B4B4B"/>
    <w:multiLevelType w:val="hybridMultilevel"/>
    <w:tmpl w:val="71E25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0A1336"/>
    <w:multiLevelType w:val="hybridMultilevel"/>
    <w:tmpl w:val="0A7443D4"/>
    <w:lvl w:ilvl="0" w:tplc="649C159A">
      <w:start w:val="1"/>
      <w:numFmt w:val="decimal"/>
      <w:lvlText w:val="1.%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736E09"/>
    <w:multiLevelType w:val="hybridMultilevel"/>
    <w:tmpl w:val="5ED20BCC"/>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nsid w:val="4A7771EF"/>
    <w:multiLevelType w:val="hybridMultilevel"/>
    <w:tmpl w:val="13C49D3C"/>
    <w:lvl w:ilvl="0" w:tplc="76007002">
      <w:start w:val="1"/>
      <w:numFmt w:val="decimal"/>
      <w:lvlText w:val="2.%1."/>
      <w:lvlJc w:val="left"/>
      <w:pPr>
        <w:ind w:left="927"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5A2402"/>
    <w:multiLevelType w:val="hybridMultilevel"/>
    <w:tmpl w:val="645693FA"/>
    <w:lvl w:ilvl="0" w:tplc="C866A91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1D35446"/>
    <w:multiLevelType w:val="hybridMultilevel"/>
    <w:tmpl w:val="3F1C7AAC"/>
    <w:lvl w:ilvl="0" w:tplc="C866A91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59A26B4D"/>
    <w:multiLevelType w:val="hybridMultilevel"/>
    <w:tmpl w:val="101AFCF2"/>
    <w:lvl w:ilvl="0" w:tplc="0809000F">
      <w:start w:val="1"/>
      <w:numFmt w:val="decimal"/>
      <w:lvlText w:val="%1."/>
      <w:lvlJc w:val="left"/>
      <w:pPr>
        <w:ind w:left="360" w:hanging="360"/>
      </w:pPr>
    </w:lvl>
    <w:lvl w:ilvl="1" w:tplc="08090019">
      <w:start w:val="1"/>
      <w:numFmt w:val="lowerLetter"/>
      <w:lvlText w:val="%2."/>
      <w:lvlJc w:val="left"/>
      <w:pPr>
        <w:ind w:left="1156" w:hanging="360"/>
      </w:pPr>
      <w:rPr>
        <w:rFonts w:cs="Times New Roman"/>
      </w:rPr>
    </w:lvl>
    <w:lvl w:ilvl="2" w:tplc="0809001B" w:tentative="1">
      <w:start w:val="1"/>
      <w:numFmt w:val="lowerRoman"/>
      <w:lvlText w:val="%3."/>
      <w:lvlJc w:val="right"/>
      <w:pPr>
        <w:ind w:left="1876" w:hanging="180"/>
      </w:pPr>
      <w:rPr>
        <w:rFonts w:cs="Times New Roman"/>
      </w:rPr>
    </w:lvl>
    <w:lvl w:ilvl="3" w:tplc="0809000F" w:tentative="1">
      <w:start w:val="1"/>
      <w:numFmt w:val="decimal"/>
      <w:lvlText w:val="%4."/>
      <w:lvlJc w:val="left"/>
      <w:pPr>
        <w:ind w:left="2596" w:hanging="360"/>
      </w:pPr>
      <w:rPr>
        <w:rFonts w:cs="Times New Roman"/>
      </w:rPr>
    </w:lvl>
    <w:lvl w:ilvl="4" w:tplc="08090019" w:tentative="1">
      <w:start w:val="1"/>
      <w:numFmt w:val="lowerLetter"/>
      <w:lvlText w:val="%5."/>
      <w:lvlJc w:val="left"/>
      <w:pPr>
        <w:ind w:left="3316" w:hanging="360"/>
      </w:pPr>
      <w:rPr>
        <w:rFonts w:cs="Times New Roman"/>
      </w:rPr>
    </w:lvl>
    <w:lvl w:ilvl="5" w:tplc="0809001B" w:tentative="1">
      <w:start w:val="1"/>
      <w:numFmt w:val="lowerRoman"/>
      <w:lvlText w:val="%6."/>
      <w:lvlJc w:val="right"/>
      <w:pPr>
        <w:ind w:left="4036" w:hanging="180"/>
      </w:pPr>
      <w:rPr>
        <w:rFonts w:cs="Times New Roman"/>
      </w:rPr>
    </w:lvl>
    <w:lvl w:ilvl="6" w:tplc="0809000F" w:tentative="1">
      <w:start w:val="1"/>
      <w:numFmt w:val="decimal"/>
      <w:lvlText w:val="%7."/>
      <w:lvlJc w:val="left"/>
      <w:pPr>
        <w:ind w:left="4756" w:hanging="360"/>
      </w:pPr>
      <w:rPr>
        <w:rFonts w:cs="Times New Roman"/>
      </w:rPr>
    </w:lvl>
    <w:lvl w:ilvl="7" w:tplc="08090019" w:tentative="1">
      <w:start w:val="1"/>
      <w:numFmt w:val="lowerLetter"/>
      <w:lvlText w:val="%8."/>
      <w:lvlJc w:val="left"/>
      <w:pPr>
        <w:ind w:left="5476" w:hanging="360"/>
      </w:pPr>
      <w:rPr>
        <w:rFonts w:cs="Times New Roman"/>
      </w:rPr>
    </w:lvl>
    <w:lvl w:ilvl="8" w:tplc="0809001B" w:tentative="1">
      <w:start w:val="1"/>
      <w:numFmt w:val="lowerRoman"/>
      <w:lvlText w:val="%9."/>
      <w:lvlJc w:val="right"/>
      <w:pPr>
        <w:ind w:left="6196" w:hanging="180"/>
      </w:pPr>
      <w:rPr>
        <w:rFonts w:cs="Times New Roman"/>
      </w:rPr>
    </w:lvl>
  </w:abstractNum>
  <w:abstractNum w:abstractNumId="28">
    <w:nsid w:val="5A1F2518"/>
    <w:multiLevelType w:val="hybridMultilevel"/>
    <w:tmpl w:val="6E6E0590"/>
    <w:lvl w:ilvl="0" w:tplc="4AE2337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CA121A"/>
    <w:multiLevelType w:val="hybridMultilevel"/>
    <w:tmpl w:val="62A4BB50"/>
    <w:lvl w:ilvl="0" w:tplc="7B6C58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957697B"/>
    <w:multiLevelType w:val="hybridMultilevel"/>
    <w:tmpl w:val="B6902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BA67FE5"/>
    <w:multiLevelType w:val="hybridMultilevel"/>
    <w:tmpl w:val="1A42DB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387681"/>
    <w:multiLevelType w:val="hybridMultilevel"/>
    <w:tmpl w:val="0AAE3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A1E19D0"/>
    <w:multiLevelType w:val="hybridMultilevel"/>
    <w:tmpl w:val="865AC710"/>
    <w:lvl w:ilvl="0" w:tplc="6EAE6CC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7"/>
  </w:num>
  <w:num w:numId="2">
    <w:abstractNumId w:val="6"/>
  </w:num>
  <w:num w:numId="3">
    <w:abstractNumId w:val="19"/>
  </w:num>
  <w:num w:numId="4">
    <w:abstractNumId w:val="4"/>
  </w:num>
  <w:num w:numId="5">
    <w:abstractNumId w:val="32"/>
  </w:num>
  <w:num w:numId="6">
    <w:abstractNumId w:val="10"/>
  </w:num>
  <w:num w:numId="7">
    <w:abstractNumId w:val="31"/>
  </w:num>
  <w:num w:numId="8">
    <w:abstractNumId w:val="13"/>
  </w:num>
  <w:num w:numId="9">
    <w:abstractNumId w:val="8"/>
  </w:num>
  <w:num w:numId="10">
    <w:abstractNumId w:val="7"/>
  </w:num>
  <w:num w:numId="11">
    <w:abstractNumId w:val="22"/>
  </w:num>
  <w:num w:numId="12">
    <w:abstractNumId w:val="18"/>
  </w:num>
  <w:num w:numId="13">
    <w:abstractNumId w:val="20"/>
  </w:num>
  <w:num w:numId="14">
    <w:abstractNumId w:val="17"/>
  </w:num>
  <w:num w:numId="15">
    <w:abstractNumId w:val="14"/>
  </w:num>
  <w:num w:numId="16">
    <w:abstractNumId w:val="12"/>
  </w:num>
  <w:num w:numId="17">
    <w:abstractNumId w:val="3"/>
  </w:num>
  <w:num w:numId="18">
    <w:abstractNumId w:val="23"/>
  </w:num>
  <w:num w:numId="19">
    <w:abstractNumId w:val="11"/>
  </w:num>
  <w:num w:numId="20">
    <w:abstractNumId w:val="26"/>
  </w:num>
  <w:num w:numId="21">
    <w:abstractNumId w:val="5"/>
  </w:num>
  <w:num w:numId="22">
    <w:abstractNumId w:val="2"/>
  </w:num>
  <w:num w:numId="23">
    <w:abstractNumId w:val="21"/>
  </w:num>
  <w:num w:numId="24">
    <w:abstractNumId w:val="30"/>
  </w:num>
  <w:num w:numId="25">
    <w:abstractNumId w:val="24"/>
  </w:num>
  <w:num w:numId="26">
    <w:abstractNumId w:val="9"/>
  </w:num>
  <w:num w:numId="27">
    <w:abstractNumId w:val="1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9"/>
  </w:num>
  <w:num w:numId="31">
    <w:abstractNumId w:val="33"/>
  </w:num>
  <w:num w:numId="32">
    <w:abstractNumId w:val="29"/>
  </w:num>
  <w:num w:numId="33">
    <w:abstractNumId w:val="28"/>
  </w:num>
  <w:num w:numId="34">
    <w:abstractNumId w:val="1"/>
  </w:num>
  <w:num w:numId="35">
    <w:abstractNumId w:val="16"/>
  </w:num>
  <w:num w:numId="3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64"/>
    <w:rsid w:val="00000B12"/>
    <w:rsid w:val="00015422"/>
    <w:rsid w:val="00031E8E"/>
    <w:rsid w:val="00042048"/>
    <w:rsid w:val="00044B0C"/>
    <w:rsid w:val="00051F82"/>
    <w:rsid w:val="000562BE"/>
    <w:rsid w:val="00060DE3"/>
    <w:rsid w:val="00061059"/>
    <w:rsid w:val="000613D5"/>
    <w:rsid w:val="00061E9F"/>
    <w:rsid w:val="00070CAA"/>
    <w:rsid w:val="00096FC8"/>
    <w:rsid w:val="000A0A18"/>
    <w:rsid w:val="000A4CDE"/>
    <w:rsid w:val="000A7235"/>
    <w:rsid w:val="000B44BB"/>
    <w:rsid w:val="000C2280"/>
    <w:rsid w:val="000D4E62"/>
    <w:rsid w:val="000E4D31"/>
    <w:rsid w:val="000F493A"/>
    <w:rsid w:val="000F777F"/>
    <w:rsid w:val="00102B2A"/>
    <w:rsid w:val="00104B17"/>
    <w:rsid w:val="00110E62"/>
    <w:rsid w:val="00113094"/>
    <w:rsid w:val="00113302"/>
    <w:rsid w:val="0011332C"/>
    <w:rsid w:val="00115251"/>
    <w:rsid w:val="00115892"/>
    <w:rsid w:val="00135E1F"/>
    <w:rsid w:val="0014010C"/>
    <w:rsid w:val="00142BF3"/>
    <w:rsid w:val="0016094A"/>
    <w:rsid w:val="001705CC"/>
    <w:rsid w:val="00171BE3"/>
    <w:rsid w:val="00172591"/>
    <w:rsid w:val="00174043"/>
    <w:rsid w:val="00175D87"/>
    <w:rsid w:val="001766BD"/>
    <w:rsid w:val="0018134B"/>
    <w:rsid w:val="0018718C"/>
    <w:rsid w:val="001923CC"/>
    <w:rsid w:val="00193D14"/>
    <w:rsid w:val="0019432F"/>
    <w:rsid w:val="001A4346"/>
    <w:rsid w:val="001B0B35"/>
    <w:rsid w:val="001B248D"/>
    <w:rsid w:val="001B6C93"/>
    <w:rsid w:val="001C4158"/>
    <w:rsid w:val="001C451E"/>
    <w:rsid w:val="001C681D"/>
    <w:rsid w:val="001D6D42"/>
    <w:rsid w:val="001E067B"/>
    <w:rsid w:val="001E6EBD"/>
    <w:rsid w:val="001E784E"/>
    <w:rsid w:val="001F17E4"/>
    <w:rsid w:val="001F1AEE"/>
    <w:rsid w:val="001F3611"/>
    <w:rsid w:val="001F50F4"/>
    <w:rsid w:val="00211F79"/>
    <w:rsid w:val="002131D3"/>
    <w:rsid w:val="00213B68"/>
    <w:rsid w:val="00220F3D"/>
    <w:rsid w:val="00221054"/>
    <w:rsid w:val="00232BD1"/>
    <w:rsid w:val="00237E0B"/>
    <w:rsid w:val="00250FAF"/>
    <w:rsid w:val="002535E5"/>
    <w:rsid w:val="00264A51"/>
    <w:rsid w:val="00265AF2"/>
    <w:rsid w:val="00267C8C"/>
    <w:rsid w:val="002732D4"/>
    <w:rsid w:val="00274AFB"/>
    <w:rsid w:val="00283486"/>
    <w:rsid w:val="00290C41"/>
    <w:rsid w:val="00296F1E"/>
    <w:rsid w:val="00297E5C"/>
    <w:rsid w:val="002A6B04"/>
    <w:rsid w:val="002B5C6A"/>
    <w:rsid w:val="002C0A7B"/>
    <w:rsid w:val="002E4E76"/>
    <w:rsid w:val="002F4F9B"/>
    <w:rsid w:val="003010FF"/>
    <w:rsid w:val="00302C88"/>
    <w:rsid w:val="00303AB6"/>
    <w:rsid w:val="00304568"/>
    <w:rsid w:val="00306EB7"/>
    <w:rsid w:val="003170CA"/>
    <w:rsid w:val="0032323D"/>
    <w:rsid w:val="0032356B"/>
    <w:rsid w:val="00354557"/>
    <w:rsid w:val="00357733"/>
    <w:rsid w:val="0036780E"/>
    <w:rsid w:val="00367B33"/>
    <w:rsid w:val="003763A9"/>
    <w:rsid w:val="00380CB6"/>
    <w:rsid w:val="0038542D"/>
    <w:rsid w:val="003859A6"/>
    <w:rsid w:val="00385CD2"/>
    <w:rsid w:val="00387C96"/>
    <w:rsid w:val="003945D5"/>
    <w:rsid w:val="003A311D"/>
    <w:rsid w:val="003A651E"/>
    <w:rsid w:val="003B788E"/>
    <w:rsid w:val="003B7CD2"/>
    <w:rsid w:val="003D30BA"/>
    <w:rsid w:val="003D6304"/>
    <w:rsid w:val="003E1738"/>
    <w:rsid w:val="003F1F79"/>
    <w:rsid w:val="00404129"/>
    <w:rsid w:val="00405848"/>
    <w:rsid w:val="00414775"/>
    <w:rsid w:val="00425831"/>
    <w:rsid w:val="00430380"/>
    <w:rsid w:val="00433E1E"/>
    <w:rsid w:val="004408A4"/>
    <w:rsid w:val="00453F3A"/>
    <w:rsid w:val="00460136"/>
    <w:rsid w:val="00460717"/>
    <w:rsid w:val="00465E29"/>
    <w:rsid w:val="00467B3C"/>
    <w:rsid w:val="00467D27"/>
    <w:rsid w:val="00471F01"/>
    <w:rsid w:val="00480C6B"/>
    <w:rsid w:val="00482AA4"/>
    <w:rsid w:val="00487852"/>
    <w:rsid w:val="0049792F"/>
    <w:rsid w:val="00497BEF"/>
    <w:rsid w:val="004A0B2A"/>
    <w:rsid w:val="004A20A4"/>
    <w:rsid w:val="004A312E"/>
    <w:rsid w:val="004A4EBE"/>
    <w:rsid w:val="004B6DB5"/>
    <w:rsid w:val="004B7760"/>
    <w:rsid w:val="004C2256"/>
    <w:rsid w:val="004C39A1"/>
    <w:rsid w:val="004D259A"/>
    <w:rsid w:val="004E7298"/>
    <w:rsid w:val="004E7AA0"/>
    <w:rsid w:val="004F2CAB"/>
    <w:rsid w:val="004F344B"/>
    <w:rsid w:val="00500044"/>
    <w:rsid w:val="00500645"/>
    <w:rsid w:val="005179FC"/>
    <w:rsid w:val="00521C89"/>
    <w:rsid w:val="0052466B"/>
    <w:rsid w:val="00524F83"/>
    <w:rsid w:val="005265B7"/>
    <w:rsid w:val="00527DBB"/>
    <w:rsid w:val="005303D1"/>
    <w:rsid w:val="005305DD"/>
    <w:rsid w:val="005425A0"/>
    <w:rsid w:val="00543B83"/>
    <w:rsid w:val="00551841"/>
    <w:rsid w:val="005651A2"/>
    <w:rsid w:val="00580901"/>
    <w:rsid w:val="005878B8"/>
    <w:rsid w:val="00590CF2"/>
    <w:rsid w:val="00592F6F"/>
    <w:rsid w:val="00595281"/>
    <w:rsid w:val="00595366"/>
    <w:rsid w:val="00595C8D"/>
    <w:rsid w:val="0059603D"/>
    <w:rsid w:val="005B6CED"/>
    <w:rsid w:val="005C7D5D"/>
    <w:rsid w:val="005D20F2"/>
    <w:rsid w:val="005E56E3"/>
    <w:rsid w:val="005E5BD7"/>
    <w:rsid w:val="005F707B"/>
    <w:rsid w:val="00600CA8"/>
    <w:rsid w:val="00631889"/>
    <w:rsid w:val="006320A0"/>
    <w:rsid w:val="00642E87"/>
    <w:rsid w:val="00645341"/>
    <w:rsid w:val="006510A8"/>
    <w:rsid w:val="00656661"/>
    <w:rsid w:val="00662B79"/>
    <w:rsid w:val="00674213"/>
    <w:rsid w:val="0067692D"/>
    <w:rsid w:val="00676BBD"/>
    <w:rsid w:val="0068124E"/>
    <w:rsid w:val="00684241"/>
    <w:rsid w:val="006863F6"/>
    <w:rsid w:val="006946F9"/>
    <w:rsid w:val="006A005C"/>
    <w:rsid w:val="006B1845"/>
    <w:rsid w:val="006C5927"/>
    <w:rsid w:val="006C62B2"/>
    <w:rsid w:val="006E0E53"/>
    <w:rsid w:val="006E10B9"/>
    <w:rsid w:val="006E3DA7"/>
    <w:rsid w:val="006E6A99"/>
    <w:rsid w:val="006E72AD"/>
    <w:rsid w:val="006F0030"/>
    <w:rsid w:val="006F4DD0"/>
    <w:rsid w:val="006F5FCE"/>
    <w:rsid w:val="006F75B6"/>
    <w:rsid w:val="00707C3F"/>
    <w:rsid w:val="0071219D"/>
    <w:rsid w:val="00720A2D"/>
    <w:rsid w:val="00726965"/>
    <w:rsid w:val="00727E86"/>
    <w:rsid w:val="0074013D"/>
    <w:rsid w:val="00745461"/>
    <w:rsid w:val="0076034E"/>
    <w:rsid w:val="00770E9D"/>
    <w:rsid w:val="0077416F"/>
    <w:rsid w:val="00777478"/>
    <w:rsid w:val="00780C4F"/>
    <w:rsid w:val="007A3990"/>
    <w:rsid w:val="007A4B4D"/>
    <w:rsid w:val="007C1F93"/>
    <w:rsid w:val="007C6E82"/>
    <w:rsid w:val="007C7D52"/>
    <w:rsid w:val="007D2A7D"/>
    <w:rsid w:val="007D539D"/>
    <w:rsid w:val="007E001E"/>
    <w:rsid w:val="007E3DD6"/>
    <w:rsid w:val="007E515A"/>
    <w:rsid w:val="007E5338"/>
    <w:rsid w:val="007E66A8"/>
    <w:rsid w:val="007E742C"/>
    <w:rsid w:val="007F23E4"/>
    <w:rsid w:val="00800082"/>
    <w:rsid w:val="00803426"/>
    <w:rsid w:val="00805688"/>
    <w:rsid w:val="008155A3"/>
    <w:rsid w:val="0082409A"/>
    <w:rsid w:val="00827C4C"/>
    <w:rsid w:val="00831048"/>
    <w:rsid w:val="00851852"/>
    <w:rsid w:val="00855369"/>
    <w:rsid w:val="008558EA"/>
    <w:rsid w:val="00857501"/>
    <w:rsid w:val="00862448"/>
    <w:rsid w:val="00873769"/>
    <w:rsid w:val="00874BEF"/>
    <w:rsid w:val="00876C6D"/>
    <w:rsid w:val="00876D6F"/>
    <w:rsid w:val="00881260"/>
    <w:rsid w:val="00884B2A"/>
    <w:rsid w:val="008A6505"/>
    <w:rsid w:val="008A6B75"/>
    <w:rsid w:val="008C2A75"/>
    <w:rsid w:val="008C347A"/>
    <w:rsid w:val="008D20BB"/>
    <w:rsid w:val="008D4FB7"/>
    <w:rsid w:val="008D65BF"/>
    <w:rsid w:val="008E4FCB"/>
    <w:rsid w:val="008E6D3B"/>
    <w:rsid w:val="008F0F99"/>
    <w:rsid w:val="008F2F64"/>
    <w:rsid w:val="008F792B"/>
    <w:rsid w:val="009017FF"/>
    <w:rsid w:val="00906F42"/>
    <w:rsid w:val="009313F6"/>
    <w:rsid w:val="00936E2E"/>
    <w:rsid w:val="00940743"/>
    <w:rsid w:val="00943E4D"/>
    <w:rsid w:val="0096279D"/>
    <w:rsid w:val="00962DEC"/>
    <w:rsid w:val="009663CC"/>
    <w:rsid w:val="00970865"/>
    <w:rsid w:val="00986F22"/>
    <w:rsid w:val="009879E1"/>
    <w:rsid w:val="009A14E6"/>
    <w:rsid w:val="009A302E"/>
    <w:rsid w:val="009A36F9"/>
    <w:rsid w:val="009A475A"/>
    <w:rsid w:val="009A4D6F"/>
    <w:rsid w:val="009B58A5"/>
    <w:rsid w:val="009B6B19"/>
    <w:rsid w:val="009C1D55"/>
    <w:rsid w:val="009C4C6C"/>
    <w:rsid w:val="009C5432"/>
    <w:rsid w:val="009D751A"/>
    <w:rsid w:val="009E00D1"/>
    <w:rsid w:val="009E03F8"/>
    <w:rsid w:val="009E7D6C"/>
    <w:rsid w:val="00A0386E"/>
    <w:rsid w:val="00A06653"/>
    <w:rsid w:val="00A24430"/>
    <w:rsid w:val="00A26034"/>
    <w:rsid w:val="00A31028"/>
    <w:rsid w:val="00A36DB1"/>
    <w:rsid w:val="00A40676"/>
    <w:rsid w:val="00A468C2"/>
    <w:rsid w:val="00A61C2F"/>
    <w:rsid w:val="00A65CB3"/>
    <w:rsid w:val="00A7779D"/>
    <w:rsid w:val="00AA4E43"/>
    <w:rsid w:val="00AC0F57"/>
    <w:rsid w:val="00AC3C1A"/>
    <w:rsid w:val="00AD145B"/>
    <w:rsid w:val="00AD1680"/>
    <w:rsid w:val="00AD4076"/>
    <w:rsid w:val="00AF0A2E"/>
    <w:rsid w:val="00B00121"/>
    <w:rsid w:val="00B030BD"/>
    <w:rsid w:val="00B23E1E"/>
    <w:rsid w:val="00B24B6E"/>
    <w:rsid w:val="00B27C1D"/>
    <w:rsid w:val="00B444C1"/>
    <w:rsid w:val="00B460C9"/>
    <w:rsid w:val="00B54CCE"/>
    <w:rsid w:val="00B55CD0"/>
    <w:rsid w:val="00B61E52"/>
    <w:rsid w:val="00B62ACC"/>
    <w:rsid w:val="00B665F4"/>
    <w:rsid w:val="00B71BF5"/>
    <w:rsid w:val="00B8067B"/>
    <w:rsid w:val="00B86601"/>
    <w:rsid w:val="00B86B05"/>
    <w:rsid w:val="00B942C0"/>
    <w:rsid w:val="00B942D6"/>
    <w:rsid w:val="00BA1A9C"/>
    <w:rsid w:val="00BA409D"/>
    <w:rsid w:val="00BA651B"/>
    <w:rsid w:val="00BA657E"/>
    <w:rsid w:val="00BA79E5"/>
    <w:rsid w:val="00BB05D8"/>
    <w:rsid w:val="00BC284B"/>
    <w:rsid w:val="00BC3188"/>
    <w:rsid w:val="00BC6875"/>
    <w:rsid w:val="00BC697D"/>
    <w:rsid w:val="00BC7ED9"/>
    <w:rsid w:val="00BD6814"/>
    <w:rsid w:val="00BD7729"/>
    <w:rsid w:val="00BE3808"/>
    <w:rsid w:val="00BF086B"/>
    <w:rsid w:val="00BF0A2B"/>
    <w:rsid w:val="00BF6FA1"/>
    <w:rsid w:val="00C06AE6"/>
    <w:rsid w:val="00C13600"/>
    <w:rsid w:val="00C24908"/>
    <w:rsid w:val="00C3306E"/>
    <w:rsid w:val="00C33B28"/>
    <w:rsid w:val="00C363B4"/>
    <w:rsid w:val="00C37C91"/>
    <w:rsid w:val="00C4293B"/>
    <w:rsid w:val="00C7571B"/>
    <w:rsid w:val="00C85C3C"/>
    <w:rsid w:val="00C938F3"/>
    <w:rsid w:val="00C9701B"/>
    <w:rsid w:val="00CA3A9C"/>
    <w:rsid w:val="00CA61F0"/>
    <w:rsid w:val="00CA6E42"/>
    <w:rsid w:val="00CC2034"/>
    <w:rsid w:val="00CC3335"/>
    <w:rsid w:val="00CC76C1"/>
    <w:rsid w:val="00CE4FA7"/>
    <w:rsid w:val="00CF5FB6"/>
    <w:rsid w:val="00D02B1F"/>
    <w:rsid w:val="00D07EFD"/>
    <w:rsid w:val="00D114B3"/>
    <w:rsid w:val="00D11809"/>
    <w:rsid w:val="00D1403C"/>
    <w:rsid w:val="00D20CE7"/>
    <w:rsid w:val="00D21352"/>
    <w:rsid w:val="00D251D8"/>
    <w:rsid w:val="00D30EB8"/>
    <w:rsid w:val="00D33E1C"/>
    <w:rsid w:val="00D37C48"/>
    <w:rsid w:val="00D464BE"/>
    <w:rsid w:val="00D504A8"/>
    <w:rsid w:val="00D55139"/>
    <w:rsid w:val="00D55F87"/>
    <w:rsid w:val="00D75723"/>
    <w:rsid w:val="00D80E23"/>
    <w:rsid w:val="00D81F86"/>
    <w:rsid w:val="00D823B7"/>
    <w:rsid w:val="00D83636"/>
    <w:rsid w:val="00D852E9"/>
    <w:rsid w:val="00D9018F"/>
    <w:rsid w:val="00D91ED7"/>
    <w:rsid w:val="00DB235D"/>
    <w:rsid w:val="00DB7DB7"/>
    <w:rsid w:val="00DC1729"/>
    <w:rsid w:val="00DC6B56"/>
    <w:rsid w:val="00DF2773"/>
    <w:rsid w:val="00DF47F0"/>
    <w:rsid w:val="00DF5FC9"/>
    <w:rsid w:val="00DF7768"/>
    <w:rsid w:val="00E0168E"/>
    <w:rsid w:val="00E05550"/>
    <w:rsid w:val="00E06E44"/>
    <w:rsid w:val="00E113FF"/>
    <w:rsid w:val="00E11FB5"/>
    <w:rsid w:val="00E13B60"/>
    <w:rsid w:val="00E15209"/>
    <w:rsid w:val="00E162EA"/>
    <w:rsid w:val="00E302EB"/>
    <w:rsid w:val="00E44EC3"/>
    <w:rsid w:val="00E5575D"/>
    <w:rsid w:val="00E64A42"/>
    <w:rsid w:val="00E70815"/>
    <w:rsid w:val="00E72952"/>
    <w:rsid w:val="00E77357"/>
    <w:rsid w:val="00E828D9"/>
    <w:rsid w:val="00E91739"/>
    <w:rsid w:val="00EA4380"/>
    <w:rsid w:val="00ED19F2"/>
    <w:rsid w:val="00EE50CD"/>
    <w:rsid w:val="00EE5EBA"/>
    <w:rsid w:val="00EE7A5E"/>
    <w:rsid w:val="00EF0EE0"/>
    <w:rsid w:val="00EF1BDD"/>
    <w:rsid w:val="00F01E79"/>
    <w:rsid w:val="00F02F4B"/>
    <w:rsid w:val="00F11A4D"/>
    <w:rsid w:val="00F336BD"/>
    <w:rsid w:val="00F33ABE"/>
    <w:rsid w:val="00F463C9"/>
    <w:rsid w:val="00F53933"/>
    <w:rsid w:val="00F54717"/>
    <w:rsid w:val="00F56C3F"/>
    <w:rsid w:val="00F61339"/>
    <w:rsid w:val="00F64B9B"/>
    <w:rsid w:val="00F64E5F"/>
    <w:rsid w:val="00F66B5D"/>
    <w:rsid w:val="00F67088"/>
    <w:rsid w:val="00F718D8"/>
    <w:rsid w:val="00F75D01"/>
    <w:rsid w:val="00F911E8"/>
    <w:rsid w:val="00FA1C18"/>
    <w:rsid w:val="00FA3CBB"/>
    <w:rsid w:val="00FB0096"/>
    <w:rsid w:val="00FC6456"/>
    <w:rsid w:val="00FC6AF8"/>
    <w:rsid w:val="00FD3164"/>
    <w:rsid w:val="00FD4924"/>
    <w:rsid w:val="00FD57EF"/>
    <w:rsid w:val="00FE36FA"/>
    <w:rsid w:val="00FE42A6"/>
    <w:rsid w:val="00FE5385"/>
    <w:rsid w:val="00FF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3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31"/>
    <w:rPr>
      <w:sz w:val="24"/>
      <w:szCs w:val="20"/>
      <w:lang w:eastAsia="en-US"/>
    </w:rPr>
  </w:style>
  <w:style w:type="paragraph" w:styleId="Heading1">
    <w:name w:val="heading 1"/>
    <w:aliases w:val="Numbered - 1"/>
    <w:basedOn w:val="Normal"/>
    <w:next w:val="Normal"/>
    <w:link w:val="Heading1Char"/>
    <w:uiPriority w:val="9"/>
    <w:qFormat/>
    <w:locked/>
    <w:rsid w:val="007C1F93"/>
    <w:pPr>
      <w:keepNext/>
      <w:keepLines/>
      <w:widowControl w:val="0"/>
      <w:overflowPunct w:val="0"/>
      <w:autoSpaceDE w:val="0"/>
      <w:autoSpaceDN w:val="0"/>
      <w:adjustRightInd w:val="0"/>
      <w:spacing w:before="240" w:after="240"/>
      <w:textAlignment w:val="baseline"/>
      <w:outlineLvl w:val="0"/>
    </w:pPr>
    <w:rPr>
      <w:rFonts w:eastAsia="Times New Roman" w:cs="Times New Roman"/>
      <w:b/>
      <w:kern w:val="28"/>
    </w:rPr>
  </w:style>
  <w:style w:type="paragraph" w:styleId="Heading2">
    <w:name w:val="heading 2"/>
    <w:aliases w:val="Numbered - 2"/>
    <w:basedOn w:val="Heading1"/>
    <w:next w:val="Normal"/>
    <w:link w:val="Heading2Char"/>
    <w:qFormat/>
    <w:locked/>
    <w:rsid w:val="007C1F93"/>
    <w:pPr>
      <w:outlineLvl w:val="1"/>
    </w:pPr>
  </w:style>
  <w:style w:type="paragraph" w:styleId="Heading3">
    <w:name w:val="heading 3"/>
    <w:aliases w:val="Numbered - 3"/>
    <w:basedOn w:val="Heading2"/>
    <w:next w:val="Normal"/>
    <w:link w:val="Heading3Char"/>
    <w:qFormat/>
    <w:locked/>
    <w:rsid w:val="007C1F93"/>
    <w:pPr>
      <w:keepNext w:val="0"/>
      <w:keepLines w:val="0"/>
      <w:spacing w:before="0" w:after="0"/>
      <w:outlineLvl w:val="2"/>
    </w:pPr>
    <w:rPr>
      <w:b w:val="0"/>
    </w:rPr>
  </w:style>
  <w:style w:type="paragraph" w:styleId="Heading4">
    <w:name w:val="heading 4"/>
    <w:aliases w:val="Numbered - 4"/>
    <w:basedOn w:val="Heading3"/>
    <w:next w:val="Normal"/>
    <w:link w:val="Heading4Char"/>
    <w:qFormat/>
    <w:locked/>
    <w:rsid w:val="007C1F93"/>
    <w:pPr>
      <w:outlineLvl w:val="3"/>
    </w:pPr>
  </w:style>
  <w:style w:type="paragraph" w:styleId="Heading5">
    <w:name w:val="heading 5"/>
    <w:aliases w:val="Numbered - 5"/>
    <w:basedOn w:val="Heading4"/>
    <w:next w:val="Normal"/>
    <w:link w:val="Heading5Char"/>
    <w:qFormat/>
    <w:locked/>
    <w:rsid w:val="007C1F93"/>
    <w:pPr>
      <w:outlineLvl w:val="4"/>
    </w:pPr>
  </w:style>
  <w:style w:type="paragraph" w:styleId="Heading6">
    <w:name w:val="heading 6"/>
    <w:aliases w:val="Numbered - 6"/>
    <w:basedOn w:val="Heading5"/>
    <w:next w:val="Normal"/>
    <w:link w:val="Heading6Char"/>
    <w:qFormat/>
    <w:locked/>
    <w:rsid w:val="007C1F93"/>
    <w:pPr>
      <w:outlineLvl w:val="5"/>
    </w:pPr>
  </w:style>
  <w:style w:type="paragraph" w:styleId="Heading7">
    <w:name w:val="heading 7"/>
    <w:aliases w:val="Numbered - 7"/>
    <w:basedOn w:val="Heading6"/>
    <w:next w:val="Normal"/>
    <w:link w:val="Heading7Char"/>
    <w:qFormat/>
    <w:locked/>
    <w:rsid w:val="007C1F93"/>
    <w:pPr>
      <w:outlineLvl w:val="6"/>
    </w:pPr>
  </w:style>
  <w:style w:type="paragraph" w:styleId="Heading8">
    <w:name w:val="heading 8"/>
    <w:aliases w:val="Numbered - 8"/>
    <w:basedOn w:val="Heading7"/>
    <w:next w:val="Normal"/>
    <w:link w:val="Heading8Char"/>
    <w:qFormat/>
    <w:locked/>
    <w:rsid w:val="007C1F93"/>
    <w:pPr>
      <w:outlineLvl w:val="7"/>
    </w:pPr>
  </w:style>
  <w:style w:type="paragraph" w:styleId="Heading9">
    <w:name w:val="heading 9"/>
    <w:aliases w:val="Numbered - 9"/>
    <w:basedOn w:val="Heading8"/>
    <w:next w:val="Normal"/>
    <w:link w:val="Heading9Char"/>
    <w:qFormat/>
    <w:locked/>
    <w:rsid w:val="007C1F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4908"/>
    <w:pPr>
      <w:widowControl w:val="0"/>
      <w:overflowPunct w:val="0"/>
      <w:autoSpaceDE w:val="0"/>
      <w:autoSpaceDN w:val="0"/>
      <w:adjustRightInd w:val="0"/>
      <w:ind w:left="720"/>
      <w:contextualSpacing/>
      <w:textAlignment w:val="baseline"/>
    </w:pPr>
    <w:rPr>
      <w:rFonts w:eastAsia="Times New Roman" w:cs="Times New Roman"/>
    </w:rPr>
  </w:style>
  <w:style w:type="paragraph" w:styleId="NoSpacing">
    <w:name w:val="No Spacing"/>
    <w:uiPriority w:val="99"/>
    <w:qFormat/>
    <w:rsid w:val="00CA61F0"/>
    <w:rPr>
      <w:sz w:val="24"/>
      <w:szCs w:val="20"/>
      <w:lang w:eastAsia="en-US"/>
    </w:rPr>
  </w:style>
  <w:style w:type="paragraph" w:styleId="Header">
    <w:name w:val="header"/>
    <w:basedOn w:val="Normal"/>
    <w:link w:val="HeaderChar"/>
    <w:rsid w:val="008155A3"/>
    <w:pPr>
      <w:tabs>
        <w:tab w:val="center" w:pos="4513"/>
        <w:tab w:val="right" w:pos="9026"/>
      </w:tabs>
    </w:pPr>
  </w:style>
  <w:style w:type="character" w:customStyle="1" w:styleId="HeaderChar">
    <w:name w:val="Header Char"/>
    <w:basedOn w:val="DefaultParagraphFont"/>
    <w:link w:val="Header"/>
    <w:uiPriority w:val="99"/>
    <w:locked/>
    <w:rsid w:val="008155A3"/>
    <w:rPr>
      <w:rFonts w:cs="Times New Roman"/>
    </w:rPr>
  </w:style>
  <w:style w:type="paragraph" w:styleId="Footer">
    <w:name w:val="footer"/>
    <w:basedOn w:val="Normal"/>
    <w:link w:val="FooterChar"/>
    <w:uiPriority w:val="99"/>
    <w:rsid w:val="008155A3"/>
    <w:pPr>
      <w:tabs>
        <w:tab w:val="center" w:pos="4513"/>
        <w:tab w:val="right" w:pos="9026"/>
      </w:tabs>
    </w:pPr>
  </w:style>
  <w:style w:type="character" w:customStyle="1" w:styleId="FooterChar">
    <w:name w:val="Footer Char"/>
    <w:basedOn w:val="DefaultParagraphFont"/>
    <w:link w:val="Footer"/>
    <w:uiPriority w:val="99"/>
    <w:locked/>
    <w:rsid w:val="008155A3"/>
    <w:rPr>
      <w:rFonts w:cs="Times New Roman"/>
    </w:rPr>
  </w:style>
  <w:style w:type="paragraph" w:styleId="BalloonText">
    <w:name w:val="Balloon Text"/>
    <w:basedOn w:val="Normal"/>
    <w:link w:val="BalloonTextChar"/>
    <w:rsid w:val="008155A3"/>
    <w:rPr>
      <w:rFonts w:ascii="Tahoma" w:hAnsi="Tahoma" w:cs="Tahoma"/>
      <w:sz w:val="16"/>
      <w:szCs w:val="16"/>
    </w:rPr>
  </w:style>
  <w:style w:type="character" w:customStyle="1" w:styleId="BalloonTextChar">
    <w:name w:val="Balloon Text Char"/>
    <w:basedOn w:val="DefaultParagraphFont"/>
    <w:link w:val="BalloonText"/>
    <w:locked/>
    <w:rsid w:val="008155A3"/>
    <w:rPr>
      <w:rFonts w:ascii="Tahoma" w:hAnsi="Tahoma" w:cs="Tahoma"/>
      <w:sz w:val="16"/>
      <w:szCs w:val="16"/>
    </w:rPr>
  </w:style>
  <w:style w:type="paragraph" w:customStyle="1" w:styleId="DfESOutNumbered">
    <w:name w:val="DfESOutNumbered"/>
    <w:basedOn w:val="Normal"/>
    <w:link w:val="DfESOutNumberedChar"/>
    <w:rsid w:val="005303D1"/>
    <w:pPr>
      <w:widowControl w:val="0"/>
      <w:numPr>
        <w:numId w:val="2"/>
      </w:numPr>
      <w:overflowPunct w:val="0"/>
      <w:autoSpaceDE w:val="0"/>
      <w:autoSpaceDN w:val="0"/>
      <w:adjustRightInd w:val="0"/>
      <w:spacing w:after="240"/>
      <w:textAlignment w:val="baseline"/>
    </w:pPr>
    <w:rPr>
      <w:rFonts w:eastAsia="Times New Roman"/>
      <w:sz w:val="22"/>
    </w:rPr>
  </w:style>
  <w:style w:type="character" w:customStyle="1" w:styleId="DfESOutNumberedChar">
    <w:name w:val="DfESOutNumbered Char"/>
    <w:basedOn w:val="DefaultParagraphFont"/>
    <w:link w:val="DfESOutNumbered"/>
    <w:uiPriority w:val="99"/>
    <w:locked/>
    <w:rsid w:val="005303D1"/>
    <w:rPr>
      <w:rFonts w:eastAsia="Times New Roman"/>
      <w:szCs w:val="20"/>
      <w:lang w:eastAsia="en-US"/>
    </w:rPr>
  </w:style>
  <w:style w:type="paragraph" w:customStyle="1" w:styleId="DeptBullets">
    <w:name w:val="DeptBullets"/>
    <w:basedOn w:val="Normal"/>
    <w:link w:val="DeptBulletsChar"/>
    <w:rsid w:val="005303D1"/>
    <w:pPr>
      <w:widowControl w:val="0"/>
      <w:numPr>
        <w:numId w:val="3"/>
      </w:numPr>
      <w:overflowPunct w:val="0"/>
      <w:autoSpaceDE w:val="0"/>
      <w:autoSpaceDN w:val="0"/>
      <w:adjustRightInd w:val="0"/>
      <w:spacing w:after="240"/>
      <w:textAlignment w:val="baseline"/>
    </w:pPr>
    <w:rPr>
      <w:rFonts w:eastAsia="Times New Roman" w:cs="Times New Roman"/>
    </w:rPr>
  </w:style>
  <w:style w:type="character" w:customStyle="1" w:styleId="DeptBulletsChar">
    <w:name w:val="DeptBullets Char"/>
    <w:basedOn w:val="DefaultParagraphFont"/>
    <w:link w:val="DeptBullets"/>
    <w:locked/>
    <w:rsid w:val="005303D1"/>
    <w:rPr>
      <w:rFonts w:eastAsia="Times New Roman" w:cs="Times New Roman"/>
      <w:sz w:val="24"/>
      <w:szCs w:val="20"/>
      <w:lang w:eastAsia="en-US"/>
    </w:rPr>
  </w:style>
  <w:style w:type="character" w:styleId="CommentReference">
    <w:name w:val="annotation reference"/>
    <w:basedOn w:val="DefaultParagraphFont"/>
    <w:rsid w:val="00F911E8"/>
    <w:rPr>
      <w:rFonts w:cs="Times New Roman"/>
      <w:sz w:val="16"/>
      <w:szCs w:val="16"/>
    </w:rPr>
  </w:style>
  <w:style w:type="paragraph" w:styleId="CommentText">
    <w:name w:val="annotation text"/>
    <w:basedOn w:val="Normal"/>
    <w:link w:val="CommentTextChar"/>
    <w:rsid w:val="00F911E8"/>
    <w:rPr>
      <w:sz w:val="20"/>
    </w:rPr>
  </w:style>
  <w:style w:type="character" w:customStyle="1" w:styleId="CommentTextChar">
    <w:name w:val="Comment Text Char"/>
    <w:basedOn w:val="DefaultParagraphFont"/>
    <w:link w:val="CommentText"/>
    <w:locked/>
    <w:rsid w:val="00F911E8"/>
    <w:rPr>
      <w:rFonts w:cs="Times New Roman"/>
      <w:sz w:val="20"/>
    </w:rPr>
  </w:style>
  <w:style w:type="paragraph" w:styleId="CommentSubject">
    <w:name w:val="annotation subject"/>
    <w:basedOn w:val="CommentText"/>
    <w:next w:val="CommentText"/>
    <w:link w:val="CommentSubjectChar"/>
    <w:rsid w:val="00F911E8"/>
    <w:rPr>
      <w:b/>
      <w:bCs/>
    </w:rPr>
  </w:style>
  <w:style w:type="character" w:customStyle="1" w:styleId="CommentSubjectChar">
    <w:name w:val="Comment Subject Char"/>
    <w:basedOn w:val="CommentTextChar"/>
    <w:link w:val="CommentSubject"/>
    <w:locked/>
    <w:rsid w:val="00F911E8"/>
    <w:rPr>
      <w:rFonts w:cs="Times New Roman"/>
      <w:b/>
      <w:bCs/>
      <w:sz w:val="20"/>
    </w:rPr>
  </w:style>
  <w:style w:type="paragraph" w:styleId="Revision">
    <w:name w:val="Revision"/>
    <w:hidden/>
    <w:uiPriority w:val="99"/>
    <w:semiHidden/>
    <w:rsid w:val="00F911E8"/>
    <w:rPr>
      <w:sz w:val="24"/>
      <w:szCs w:val="20"/>
      <w:lang w:eastAsia="en-US"/>
    </w:rPr>
  </w:style>
  <w:style w:type="character" w:customStyle="1" w:styleId="ListParagraphChar">
    <w:name w:val="List Paragraph Char"/>
    <w:basedOn w:val="DefaultParagraphFont"/>
    <w:link w:val="ListParagraph"/>
    <w:uiPriority w:val="99"/>
    <w:locked/>
    <w:rsid w:val="00527DBB"/>
    <w:rPr>
      <w:rFonts w:eastAsia="Times New Roman" w:cs="Times New Roman"/>
      <w:sz w:val="24"/>
      <w:szCs w:val="20"/>
      <w:lang w:eastAsia="en-US"/>
    </w:rPr>
  </w:style>
  <w:style w:type="character" w:styleId="Emphasis">
    <w:name w:val="Emphasis"/>
    <w:basedOn w:val="DefaultParagraphFont"/>
    <w:uiPriority w:val="20"/>
    <w:qFormat/>
    <w:locked/>
    <w:rsid w:val="00527DBB"/>
    <w:rPr>
      <w:i/>
      <w:iCs/>
    </w:rPr>
  </w:style>
  <w:style w:type="table" w:styleId="TableGrid">
    <w:name w:val="Table Grid"/>
    <w:basedOn w:val="TableNormal"/>
    <w:locked/>
    <w:rsid w:val="0025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C2034"/>
    <w:rPr>
      <w:color w:val="0000FF"/>
      <w:u w:val="single"/>
    </w:rPr>
  </w:style>
  <w:style w:type="paragraph" w:styleId="FootnoteText">
    <w:name w:val="footnote text"/>
    <w:basedOn w:val="Normal"/>
    <w:link w:val="FootnoteTextChar"/>
    <w:uiPriority w:val="99"/>
    <w:rsid w:val="00CC2034"/>
    <w:pPr>
      <w:widowControl w:val="0"/>
      <w:overflowPunct w:val="0"/>
      <w:autoSpaceDE w:val="0"/>
      <w:autoSpaceDN w:val="0"/>
      <w:adjustRightInd w:val="0"/>
      <w:textAlignment w:val="baseline"/>
    </w:pPr>
    <w:rPr>
      <w:rFonts w:eastAsia="Times New Roman" w:cs="Times New Roman"/>
      <w:sz w:val="20"/>
    </w:rPr>
  </w:style>
  <w:style w:type="character" w:customStyle="1" w:styleId="FootnoteTextChar">
    <w:name w:val="Footnote Text Char"/>
    <w:basedOn w:val="DefaultParagraphFont"/>
    <w:link w:val="FootnoteText"/>
    <w:uiPriority w:val="99"/>
    <w:rsid w:val="00CC2034"/>
    <w:rPr>
      <w:rFonts w:eastAsia="Times New Roman" w:cs="Times New Roman"/>
      <w:sz w:val="20"/>
      <w:szCs w:val="20"/>
      <w:lang w:eastAsia="en-US"/>
    </w:rPr>
  </w:style>
  <w:style w:type="character" w:styleId="FootnoteReference">
    <w:name w:val="footnote reference"/>
    <w:uiPriority w:val="99"/>
    <w:rsid w:val="00CC2034"/>
    <w:rPr>
      <w:vertAlign w:val="superscript"/>
    </w:rPr>
  </w:style>
  <w:style w:type="character" w:customStyle="1" w:styleId="Heading1Char">
    <w:name w:val="Heading 1 Char"/>
    <w:aliases w:val="Numbered - 1 Char"/>
    <w:basedOn w:val="DefaultParagraphFont"/>
    <w:link w:val="Heading1"/>
    <w:uiPriority w:val="9"/>
    <w:rsid w:val="007C1F93"/>
    <w:rPr>
      <w:rFonts w:eastAsia="Times New Roman" w:cs="Times New Roman"/>
      <w:b/>
      <w:kern w:val="28"/>
      <w:sz w:val="24"/>
      <w:szCs w:val="20"/>
      <w:lang w:eastAsia="en-US"/>
    </w:rPr>
  </w:style>
  <w:style w:type="character" w:customStyle="1" w:styleId="Heading2Char">
    <w:name w:val="Heading 2 Char"/>
    <w:aliases w:val="Numbered - 2 Char"/>
    <w:basedOn w:val="DefaultParagraphFont"/>
    <w:link w:val="Heading2"/>
    <w:rsid w:val="007C1F93"/>
    <w:rPr>
      <w:rFonts w:eastAsia="Times New Roman" w:cs="Times New Roman"/>
      <w:b/>
      <w:kern w:val="28"/>
      <w:sz w:val="24"/>
      <w:szCs w:val="20"/>
      <w:lang w:eastAsia="en-US"/>
    </w:rPr>
  </w:style>
  <w:style w:type="character" w:customStyle="1" w:styleId="Heading3Char">
    <w:name w:val="Heading 3 Char"/>
    <w:aliases w:val="Numbered - 3 Char"/>
    <w:basedOn w:val="DefaultParagraphFont"/>
    <w:link w:val="Heading3"/>
    <w:rsid w:val="007C1F93"/>
    <w:rPr>
      <w:rFonts w:eastAsia="Times New Roman" w:cs="Times New Roman"/>
      <w:kern w:val="28"/>
      <w:sz w:val="24"/>
      <w:szCs w:val="20"/>
      <w:lang w:eastAsia="en-US"/>
    </w:rPr>
  </w:style>
  <w:style w:type="character" w:customStyle="1" w:styleId="Heading4Char">
    <w:name w:val="Heading 4 Char"/>
    <w:aliases w:val="Numbered - 4 Char"/>
    <w:basedOn w:val="DefaultParagraphFont"/>
    <w:link w:val="Heading4"/>
    <w:rsid w:val="007C1F93"/>
    <w:rPr>
      <w:rFonts w:eastAsia="Times New Roman" w:cs="Times New Roman"/>
      <w:kern w:val="28"/>
      <w:sz w:val="24"/>
      <w:szCs w:val="20"/>
      <w:lang w:eastAsia="en-US"/>
    </w:rPr>
  </w:style>
  <w:style w:type="character" w:customStyle="1" w:styleId="Heading5Char">
    <w:name w:val="Heading 5 Char"/>
    <w:aliases w:val="Numbered - 5 Char"/>
    <w:basedOn w:val="DefaultParagraphFont"/>
    <w:link w:val="Heading5"/>
    <w:rsid w:val="007C1F93"/>
    <w:rPr>
      <w:rFonts w:eastAsia="Times New Roman" w:cs="Times New Roman"/>
      <w:kern w:val="28"/>
      <w:sz w:val="24"/>
      <w:szCs w:val="20"/>
      <w:lang w:eastAsia="en-US"/>
    </w:rPr>
  </w:style>
  <w:style w:type="character" w:customStyle="1" w:styleId="Heading6Char">
    <w:name w:val="Heading 6 Char"/>
    <w:aliases w:val="Numbered - 6 Char"/>
    <w:basedOn w:val="DefaultParagraphFont"/>
    <w:link w:val="Heading6"/>
    <w:rsid w:val="007C1F93"/>
    <w:rPr>
      <w:rFonts w:eastAsia="Times New Roman" w:cs="Times New Roman"/>
      <w:kern w:val="28"/>
      <w:sz w:val="24"/>
      <w:szCs w:val="20"/>
      <w:lang w:eastAsia="en-US"/>
    </w:rPr>
  </w:style>
  <w:style w:type="character" w:customStyle="1" w:styleId="Heading7Char">
    <w:name w:val="Heading 7 Char"/>
    <w:aliases w:val="Numbered - 7 Char"/>
    <w:basedOn w:val="DefaultParagraphFont"/>
    <w:link w:val="Heading7"/>
    <w:rsid w:val="007C1F93"/>
    <w:rPr>
      <w:rFonts w:eastAsia="Times New Roman" w:cs="Times New Roman"/>
      <w:kern w:val="28"/>
      <w:sz w:val="24"/>
      <w:szCs w:val="20"/>
      <w:lang w:eastAsia="en-US"/>
    </w:rPr>
  </w:style>
  <w:style w:type="character" w:customStyle="1" w:styleId="Heading8Char">
    <w:name w:val="Heading 8 Char"/>
    <w:aliases w:val="Numbered - 8 Char"/>
    <w:basedOn w:val="DefaultParagraphFont"/>
    <w:link w:val="Heading8"/>
    <w:rsid w:val="007C1F93"/>
    <w:rPr>
      <w:rFonts w:eastAsia="Times New Roman" w:cs="Times New Roman"/>
      <w:kern w:val="28"/>
      <w:sz w:val="24"/>
      <w:szCs w:val="20"/>
      <w:lang w:eastAsia="en-US"/>
    </w:rPr>
  </w:style>
  <w:style w:type="character" w:customStyle="1" w:styleId="Heading9Char">
    <w:name w:val="Heading 9 Char"/>
    <w:aliases w:val="Numbered - 9 Char"/>
    <w:basedOn w:val="DefaultParagraphFont"/>
    <w:link w:val="Heading9"/>
    <w:rsid w:val="007C1F93"/>
    <w:rPr>
      <w:rFonts w:eastAsia="Times New Roman" w:cs="Times New Roman"/>
      <w:kern w:val="28"/>
      <w:sz w:val="24"/>
      <w:szCs w:val="20"/>
      <w:lang w:eastAsia="en-US"/>
    </w:rPr>
  </w:style>
  <w:style w:type="paragraph" w:styleId="BodyText">
    <w:name w:val="Body Text"/>
    <w:basedOn w:val="Normal"/>
    <w:link w:val="BodyTextChar"/>
    <w:rsid w:val="007C1F93"/>
    <w:pPr>
      <w:widowControl w:val="0"/>
      <w:overflowPunct w:val="0"/>
      <w:autoSpaceDE w:val="0"/>
      <w:autoSpaceDN w:val="0"/>
      <w:adjustRightInd w:val="0"/>
      <w:textAlignment w:val="baseline"/>
    </w:pPr>
    <w:rPr>
      <w:rFonts w:eastAsia="Times New Roman" w:cs="Times New Roman"/>
    </w:rPr>
  </w:style>
  <w:style w:type="character" w:customStyle="1" w:styleId="BodyTextChar">
    <w:name w:val="Body Text Char"/>
    <w:basedOn w:val="DefaultParagraphFont"/>
    <w:link w:val="BodyText"/>
    <w:rsid w:val="007C1F93"/>
    <w:rPr>
      <w:rFonts w:eastAsia="Times New Roman" w:cs="Times New Roman"/>
      <w:sz w:val="24"/>
      <w:szCs w:val="20"/>
      <w:lang w:eastAsia="en-US"/>
    </w:rPr>
  </w:style>
  <w:style w:type="paragraph" w:styleId="BodyTextIndent">
    <w:name w:val="Body Text Indent"/>
    <w:basedOn w:val="Normal"/>
    <w:link w:val="BodyTextIndentChar"/>
    <w:rsid w:val="007C1F93"/>
    <w:pPr>
      <w:widowControl w:val="0"/>
      <w:overflowPunct w:val="0"/>
      <w:autoSpaceDE w:val="0"/>
      <w:autoSpaceDN w:val="0"/>
      <w:adjustRightInd w:val="0"/>
      <w:ind w:left="288"/>
      <w:textAlignment w:val="baseline"/>
    </w:pPr>
    <w:rPr>
      <w:rFonts w:eastAsia="Times New Roman" w:cs="Times New Roman"/>
    </w:rPr>
  </w:style>
  <w:style w:type="character" w:customStyle="1" w:styleId="BodyTextIndentChar">
    <w:name w:val="Body Text Indent Char"/>
    <w:basedOn w:val="DefaultParagraphFont"/>
    <w:link w:val="BodyTextIndent"/>
    <w:rsid w:val="007C1F93"/>
    <w:rPr>
      <w:rFonts w:eastAsia="Times New Roman" w:cs="Times New Roman"/>
      <w:sz w:val="24"/>
      <w:szCs w:val="20"/>
      <w:lang w:eastAsia="en-US"/>
    </w:rPr>
  </w:style>
  <w:style w:type="paragraph" w:customStyle="1" w:styleId="DeptOutNumbered">
    <w:name w:val="DeptOutNumbered"/>
    <w:basedOn w:val="Normal"/>
    <w:uiPriority w:val="99"/>
    <w:rsid w:val="007C1F93"/>
    <w:pPr>
      <w:widowControl w:val="0"/>
      <w:numPr>
        <w:numId w:val="19"/>
      </w:numPr>
      <w:tabs>
        <w:tab w:val="clear" w:pos="720"/>
        <w:tab w:val="num" w:pos="360"/>
      </w:tabs>
      <w:overflowPunct w:val="0"/>
      <w:autoSpaceDE w:val="0"/>
      <w:autoSpaceDN w:val="0"/>
      <w:adjustRightInd w:val="0"/>
      <w:spacing w:after="240"/>
      <w:textAlignment w:val="baseline"/>
    </w:pPr>
    <w:rPr>
      <w:rFonts w:eastAsia="Times New Roman" w:cs="Times New Roman"/>
    </w:rPr>
  </w:style>
  <w:style w:type="paragraph" w:customStyle="1" w:styleId="Heading">
    <w:name w:val="Heading"/>
    <w:basedOn w:val="Normal"/>
    <w:next w:val="Normal"/>
    <w:rsid w:val="007C1F93"/>
    <w:pPr>
      <w:keepNext/>
      <w:keepLines/>
      <w:widowControl w:val="0"/>
      <w:overflowPunct w:val="0"/>
      <w:autoSpaceDE w:val="0"/>
      <w:autoSpaceDN w:val="0"/>
      <w:adjustRightInd w:val="0"/>
      <w:spacing w:before="240" w:after="240"/>
      <w:ind w:left="-720"/>
      <w:textAlignment w:val="baseline"/>
    </w:pPr>
    <w:rPr>
      <w:rFonts w:eastAsia="Times New Roman" w:cs="Times New Roman"/>
      <w:b/>
    </w:rPr>
  </w:style>
  <w:style w:type="paragraph" w:customStyle="1" w:styleId="MinuteTop">
    <w:name w:val="Minute Top"/>
    <w:basedOn w:val="Normal"/>
    <w:rsid w:val="007C1F93"/>
    <w:pPr>
      <w:widowControl w:val="0"/>
      <w:tabs>
        <w:tab w:val="left" w:pos="4680"/>
        <w:tab w:val="left" w:pos="5587"/>
      </w:tabs>
      <w:overflowPunct w:val="0"/>
      <w:autoSpaceDE w:val="0"/>
      <w:autoSpaceDN w:val="0"/>
      <w:adjustRightInd w:val="0"/>
      <w:textAlignment w:val="baseline"/>
    </w:pPr>
    <w:rPr>
      <w:rFonts w:eastAsia="Times New Roman" w:cs="Times New Roman"/>
    </w:rPr>
  </w:style>
  <w:style w:type="paragraph" w:customStyle="1" w:styleId="Numbered">
    <w:name w:val="Numbered"/>
    <w:basedOn w:val="Normal"/>
    <w:rsid w:val="007C1F93"/>
    <w:pPr>
      <w:widowControl w:val="0"/>
      <w:overflowPunct w:val="0"/>
      <w:autoSpaceDE w:val="0"/>
      <w:autoSpaceDN w:val="0"/>
      <w:adjustRightInd w:val="0"/>
      <w:spacing w:after="240"/>
      <w:textAlignment w:val="baseline"/>
    </w:pPr>
    <w:rPr>
      <w:rFonts w:eastAsia="Times New Roman" w:cs="Times New Roman"/>
    </w:rPr>
  </w:style>
  <w:style w:type="character" w:styleId="PageNumber">
    <w:name w:val="page number"/>
    <w:basedOn w:val="DefaultParagraphFont"/>
    <w:rsid w:val="007C1F93"/>
  </w:style>
  <w:style w:type="character" w:customStyle="1" w:styleId="PersonalComposeStyle">
    <w:name w:val="Personal Compose Style"/>
    <w:rsid w:val="007C1F93"/>
    <w:rPr>
      <w:rFonts w:ascii="Arial" w:hAnsi="Arial" w:cs="Arial"/>
      <w:color w:val="auto"/>
      <w:sz w:val="20"/>
    </w:rPr>
  </w:style>
  <w:style w:type="character" w:customStyle="1" w:styleId="PersonalReplyStyle">
    <w:name w:val="Personal Reply Style"/>
    <w:rsid w:val="007C1F93"/>
    <w:rPr>
      <w:rFonts w:ascii="Arial" w:hAnsi="Arial" w:cs="Arial"/>
      <w:color w:val="auto"/>
      <w:sz w:val="20"/>
    </w:rPr>
  </w:style>
  <w:style w:type="paragraph" w:customStyle="1" w:styleId="Sub-Heading">
    <w:name w:val="Sub-Heading"/>
    <w:basedOn w:val="Heading"/>
    <w:next w:val="Numbered"/>
    <w:rsid w:val="007C1F93"/>
    <w:pPr>
      <w:spacing w:before="0"/>
    </w:pPr>
  </w:style>
  <w:style w:type="paragraph" w:styleId="Subtitle">
    <w:name w:val="Subtitle"/>
    <w:basedOn w:val="Normal"/>
    <w:link w:val="SubtitleChar"/>
    <w:qFormat/>
    <w:locked/>
    <w:rsid w:val="007C1F93"/>
    <w:pPr>
      <w:widowControl w:val="0"/>
      <w:overflowPunct w:val="0"/>
      <w:autoSpaceDE w:val="0"/>
      <w:autoSpaceDN w:val="0"/>
      <w:adjustRightInd w:val="0"/>
      <w:spacing w:after="60"/>
      <w:jc w:val="center"/>
      <w:textAlignment w:val="baseline"/>
    </w:pPr>
    <w:rPr>
      <w:rFonts w:eastAsia="Times New Roman" w:cs="Times New Roman"/>
      <w:i/>
    </w:rPr>
  </w:style>
  <w:style w:type="character" w:customStyle="1" w:styleId="SubtitleChar">
    <w:name w:val="Subtitle Char"/>
    <w:basedOn w:val="DefaultParagraphFont"/>
    <w:link w:val="Subtitle"/>
    <w:rsid w:val="007C1F93"/>
    <w:rPr>
      <w:rFonts w:eastAsia="Times New Roman" w:cs="Times New Roman"/>
      <w:i/>
      <w:sz w:val="24"/>
      <w:szCs w:val="20"/>
      <w:lang w:eastAsia="en-US"/>
    </w:rPr>
  </w:style>
  <w:style w:type="paragraph" w:customStyle="1" w:styleId="DfESBullets">
    <w:name w:val="DfESBullets"/>
    <w:basedOn w:val="Normal"/>
    <w:rsid w:val="007C1F93"/>
    <w:pPr>
      <w:widowControl w:val="0"/>
      <w:numPr>
        <w:numId w:val="20"/>
      </w:numPr>
      <w:overflowPunct w:val="0"/>
      <w:autoSpaceDE w:val="0"/>
      <w:autoSpaceDN w:val="0"/>
      <w:adjustRightInd w:val="0"/>
      <w:spacing w:after="240"/>
      <w:textAlignment w:val="baseline"/>
    </w:pPr>
    <w:rPr>
      <w:rFonts w:eastAsia="Times New Roman"/>
      <w:sz w:val="22"/>
    </w:rPr>
  </w:style>
  <w:style w:type="paragraph" w:customStyle="1" w:styleId="Default">
    <w:name w:val="Default"/>
    <w:rsid w:val="007C1F93"/>
    <w:pPr>
      <w:autoSpaceDE w:val="0"/>
      <w:autoSpaceDN w:val="0"/>
      <w:adjustRightInd w:val="0"/>
    </w:pPr>
    <w:rPr>
      <w:rFonts w:eastAsia="Times New Roman"/>
      <w:color w:val="000000"/>
      <w:sz w:val="24"/>
      <w:szCs w:val="24"/>
    </w:rPr>
  </w:style>
  <w:style w:type="paragraph" w:customStyle="1" w:styleId="Default1">
    <w:name w:val="Default1"/>
    <w:basedOn w:val="Default"/>
    <w:next w:val="Default"/>
    <w:uiPriority w:val="99"/>
    <w:rsid w:val="007C1F93"/>
    <w:rPr>
      <w:color w:val="auto"/>
    </w:rPr>
  </w:style>
  <w:style w:type="paragraph" w:customStyle="1" w:styleId="Pa1">
    <w:name w:val="Pa1"/>
    <w:basedOn w:val="Default"/>
    <w:next w:val="Default"/>
    <w:uiPriority w:val="99"/>
    <w:rsid w:val="007C1F93"/>
    <w:pPr>
      <w:spacing w:line="241" w:lineRule="atLeast"/>
    </w:pPr>
    <w:rPr>
      <w:color w:val="auto"/>
    </w:rPr>
  </w:style>
  <w:style w:type="character" w:customStyle="1" w:styleId="A1">
    <w:name w:val="A1"/>
    <w:uiPriority w:val="99"/>
    <w:rsid w:val="007C1F93"/>
    <w:rPr>
      <w:rFonts w:ascii="Myriad Pro" w:hAnsi="Myriad Pro" w:cs="Myriad Pro"/>
      <w:color w:val="000000"/>
      <w:sz w:val="26"/>
      <w:szCs w:val="26"/>
    </w:rPr>
  </w:style>
  <w:style w:type="character" w:styleId="EndnoteReference">
    <w:name w:val="endnote reference"/>
    <w:uiPriority w:val="99"/>
    <w:unhideWhenUsed/>
    <w:rsid w:val="007C1F93"/>
    <w:rPr>
      <w:vertAlign w:val="superscript"/>
    </w:rPr>
  </w:style>
  <w:style w:type="paragraph" w:styleId="PlainText">
    <w:name w:val="Plain Text"/>
    <w:basedOn w:val="Normal"/>
    <w:link w:val="PlainTextChar"/>
    <w:uiPriority w:val="99"/>
    <w:rsid w:val="007C1F93"/>
    <w:pPr>
      <w:widowControl w:val="0"/>
      <w:overflowPunct w:val="0"/>
      <w:autoSpaceDE w:val="0"/>
      <w:autoSpaceDN w:val="0"/>
      <w:adjustRightInd w:val="0"/>
      <w:textAlignment w:val="baseline"/>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C1F93"/>
    <w:rPr>
      <w:rFonts w:ascii="Consolas" w:eastAsia="Times New Roman" w:hAnsi="Consolas" w:cs="Times New Roman"/>
      <w:sz w:val="21"/>
      <w:szCs w:val="21"/>
      <w:lang w:eastAsia="en-US"/>
    </w:rPr>
  </w:style>
  <w:style w:type="paragraph" w:styleId="NormalWeb">
    <w:name w:val="Normal (Web)"/>
    <w:basedOn w:val="Normal"/>
    <w:uiPriority w:val="99"/>
    <w:unhideWhenUsed/>
    <w:rsid w:val="007C1F93"/>
    <w:pPr>
      <w:spacing w:before="240" w:after="240"/>
    </w:pPr>
    <w:rPr>
      <w:rFonts w:ascii="Times New Roman" w:eastAsia="Times New Roman" w:hAnsi="Times New Roman" w:cs="Times New Roman"/>
      <w:szCs w:val="24"/>
      <w:lang w:eastAsia="en-GB"/>
    </w:rPr>
  </w:style>
  <w:style w:type="character" w:styleId="FollowedHyperlink">
    <w:name w:val="FollowedHyperlink"/>
    <w:rsid w:val="007C1F9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31"/>
    <w:rPr>
      <w:sz w:val="24"/>
      <w:szCs w:val="20"/>
      <w:lang w:eastAsia="en-US"/>
    </w:rPr>
  </w:style>
  <w:style w:type="paragraph" w:styleId="Heading1">
    <w:name w:val="heading 1"/>
    <w:aliases w:val="Numbered - 1"/>
    <w:basedOn w:val="Normal"/>
    <w:next w:val="Normal"/>
    <w:link w:val="Heading1Char"/>
    <w:uiPriority w:val="9"/>
    <w:qFormat/>
    <w:locked/>
    <w:rsid w:val="007C1F93"/>
    <w:pPr>
      <w:keepNext/>
      <w:keepLines/>
      <w:widowControl w:val="0"/>
      <w:overflowPunct w:val="0"/>
      <w:autoSpaceDE w:val="0"/>
      <w:autoSpaceDN w:val="0"/>
      <w:adjustRightInd w:val="0"/>
      <w:spacing w:before="240" w:after="240"/>
      <w:textAlignment w:val="baseline"/>
      <w:outlineLvl w:val="0"/>
    </w:pPr>
    <w:rPr>
      <w:rFonts w:eastAsia="Times New Roman" w:cs="Times New Roman"/>
      <w:b/>
      <w:kern w:val="28"/>
    </w:rPr>
  </w:style>
  <w:style w:type="paragraph" w:styleId="Heading2">
    <w:name w:val="heading 2"/>
    <w:aliases w:val="Numbered - 2"/>
    <w:basedOn w:val="Heading1"/>
    <w:next w:val="Normal"/>
    <w:link w:val="Heading2Char"/>
    <w:qFormat/>
    <w:locked/>
    <w:rsid w:val="007C1F93"/>
    <w:pPr>
      <w:outlineLvl w:val="1"/>
    </w:pPr>
  </w:style>
  <w:style w:type="paragraph" w:styleId="Heading3">
    <w:name w:val="heading 3"/>
    <w:aliases w:val="Numbered - 3"/>
    <w:basedOn w:val="Heading2"/>
    <w:next w:val="Normal"/>
    <w:link w:val="Heading3Char"/>
    <w:qFormat/>
    <w:locked/>
    <w:rsid w:val="007C1F93"/>
    <w:pPr>
      <w:keepNext w:val="0"/>
      <w:keepLines w:val="0"/>
      <w:spacing w:before="0" w:after="0"/>
      <w:outlineLvl w:val="2"/>
    </w:pPr>
    <w:rPr>
      <w:b w:val="0"/>
    </w:rPr>
  </w:style>
  <w:style w:type="paragraph" w:styleId="Heading4">
    <w:name w:val="heading 4"/>
    <w:aliases w:val="Numbered - 4"/>
    <w:basedOn w:val="Heading3"/>
    <w:next w:val="Normal"/>
    <w:link w:val="Heading4Char"/>
    <w:qFormat/>
    <w:locked/>
    <w:rsid w:val="007C1F93"/>
    <w:pPr>
      <w:outlineLvl w:val="3"/>
    </w:pPr>
  </w:style>
  <w:style w:type="paragraph" w:styleId="Heading5">
    <w:name w:val="heading 5"/>
    <w:aliases w:val="Numbered - 5"/>
    <w:basedOn w:val="Heading4"/>
    <w:next w:val="Normal"/>
    <w:link w:val="Heading5Char"/>
    <w:qFormat/>
    <w:locked/>
    <w:rsid w:val="007C1F93"/>
    <w:pPr>
      <w:outlineLvl w:val="4"/>
    </w:pPr>
  </w:style>
  <w:style w:type="paragraph" w:styleId="Heading6">
    <w:name w:val="heading 6"/>
    <w:aliases w:val="Numbered - 6"/>
    <w:basedOn w:val="Heading5"/>
    <w:next w:val="Normal"/>
    <w:link w:val="Heading6Char"/>
    <w:qFormat/>
    <w:locked/>
    <w:rsid w:val="007C1F93"/>
    <w:pPr>
      <w:outlineLvl w:val="5"/>
    </w:pPr>
  </w:style>
  <w:style w:type="paragraph" w:styleId="Heading7">
    <w:name w:val="heading 7"/>
    <w:aliases w:val="Numbered - 7"/>
    <w:basedOn w:val="Heading6"/>
    <w:next w:val="Normal"/>
    <w:link w:val="Heading7Char"/>
    <w:qFormat/>
    <w:locked/>
    <w:rsid w:val="007C1F93"/>
    <w:pPr>
      <w:outlineLvl w:val="6"/>
    </w:pPr>
  </w:style>
  <w:style w:type="paragraph" w:styleId="Heading8">
    <w:name w:val="heading 8"/>
    <w:aliases w:val="Numbered - 8"/>
    <w:basedOn w:val="Heading7"/>
    <w:next w:val="Normal"/>
    <w:link w:val="Heading8Char"/>
    <w:qFormat/>
    <w:locked/>
    <w:rsid w:val="007C1F93"/>
    <w:pPr>
      <w:outlineLvl w:val="7"/>
    </w:pPr>
  </w:style>
  <w:style w:type="paragraph" w:styleId="Heading9">
    <w:name w:val="heading 9"/>
    <w:aliases w:val="Numbered - 9"/>
    <w:basedOn w:val="Heading8"/>
    <w:next w:val="Normal"/>
    <w:link w:val="Heading9Char"/>
    <w:qFormat/>
    <w:locked/>
    <w:rsid w:val="007C1F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4908"/>
    <w:pPr>
      <w:widowControl w:val="0"/>
      <w:overflowPunct w:val="0"/>
      <w:autoSpaceDE w:val="0"/>
      <w:autoSpaceDN w:val="0"/>
      <w:adjustRightInd w:val="0"/>
      <w:ind w:left="720"/>
      <w:contextualSpacing/>
      <w:textAlignment w:val="baseline"/>
    </w:pPr>
    <w:rPr>
      <w:rFonts w:eastAsia="Times New Roman" w:cs="Times New Roman"/>
    </w:rPr>
  </w:style>
  <w:style w:type="paragraph" w:styleId="NoSpacing">
    <w:name w:val="No Spacing"/>
    <w:uiPriority w:val="99"/>
    <w:qFormat/>
    <w:rsid w:val="00CA61F0"/>
    <w:rPr>
      <w:sz w:val="24"/>
      <w:szCs w:val="20"/>
      <w:lang w:eastAsia="en-US"/>
    </w:rPr>
  </w:style>
  <w:style w:type="paragraph" w:styleId="Header">
    <w:name w:val="header"/>
    <w:basedOn w:val="Normal"/>
    <w:link w:val="HeaderChar"/>
    <w:rsid w:val="008155A3"/>
    <w:pPr>
      <w:tabs>
        <w:tab w:val="center" w:pos="4513"/>
        <w:tab w:val="right" w:pos="9026"/>
      </w:tabs>
    </w:pPr>
  </w:style>
  <w:style w:type="character" w:customStyle="1" w:styleId="HeaderChar">
    <w:name w:val="Header Char"/>
    <w:basedOn w:val="DefaultParagraphFont"/>
    <w:link w:val="Header"/>
    <w:uiPriority w:val="99"/>
    <w:locked/>
    <w:rsid w:val="008155A3"/>
    <w:rPr>
      <w:rFonts w:cs="Times New Roman"/>
    </w:rPr>
  </w:style>
  <w:style w:type="paragraph" w:styleId="Footer">
    <w:name w:val="footer"/>
    <w:basedOn w:val="Normal"/>
    <w:link w:val="FooterChar"/>
    <w:uiPriority w:val="99"/>
    <w:rsid w:val="008155A3"/>
    <w:pPr>
      <w:tabs>
        <w:tab w:val="center" w:pos="4513"/>
        <w:tab w:val="right" w:pos="9026"/>
      </w:tabs>
    </w:pPr>
  </w:style>
  <w:style w:type="character" w:customStyle="1" w:styleId="FooterChar">
    <w:name w:val="Footer Char"/>
    <w:basedOn w:val="DefaultParagraphFont"/>
    <w:link w:val="Footer"/>
    <w:uiPriority w:val="99"/>
    <w:locked/>
    <w:rsid w:val="008155A3"/>
    <w:rPr>
      <w:rFonts w:cs="Times New Roman"/>
    </w:rPr>
  </w:style>
  <w:style w:type="paragraph" w:styleId="BalloonText">
    <w:name w:val="Balloon Text"/>
    <w:basedOn w:val="Normal"/>
    <w:link w:val="BalloonTextChar"/>
    <w:rsid w:val="008155A3"/>
    <w:rPr>
      <w:rFonts w:ascii="Tahoma" w:hAnsi="Tahoma" w:cs="Tahoma"/>
      <w:sz w:val="16"/>
      <w:szCs w:val="16"/>
    </w:rPr>
  </w:style>
  <w:style w:type="character" w:customStyle="1" w:styleId="BalloonTextChar">
    <w:name w:val="Balloon Text Char"/>
    <w:basedOn w:val="DefaultParagraphFont"/>
    <w:link w:val="BalloonText"/>
    <w:locked/>
    <w:rsid w:val="008155A3"/>
    <w:rPr>
      <w:rFonts w:ascii="Tahoma" w:hAnsi="Tahoma" w:cs="Tahoma"/>
      <w:sz w:val="16"/>
      <w:szCs w:val="16"/>
    </w:rPr>
  </w:style>
  <w:style w:type="paragraph" w:customStyle="1" w:styleId="DfESOutNumbered">
    <w:name w:val="DfESOutNumbered"/>
    <w:basedOn w:val="Normal"/>
    <w:link w:val="DfESOutNumberedChar"/>
    <w:rsid w:val="005303D1"/>
    <w:pPr>
      <w:widowControl w:val="0"/>
      <w:numPr>
        <w:numId w:val="2"/>
      </w:numPr>
      <w:overflowPunct w:val="0"/>
      <w:autoSpaceDE w:val="0"/>
      <w:autoSpaceDN w:val="0"/>
      <w:adjustRightInd w:val="0"/>
      <w:spacing w:after="240"/>
      <w:textAlignment w:val="baseline"/>
    </w:pPr>
    <w:rPr>
      <w:rFonts w:eastAsia="Times New Roman"/>
      <w:sz w:val="22"/>
    </w:rPr>
  </w:style>
  <w:style w:type="character" w:customStyle="1" w:styleId="DfESOutNumberedChar">
    <w:name w:val="DfESOutNumbered Char"/>
    <w:basedOn w:val="DefaultParagraphFont"/>
    <w:link w:val="DfESOutNumbered"/>
    <w:uiPriority w:val="99"/>
    <w:locked/>
    <w:rsid w:val="005303D1"/>
    <w:rPr>
      <w:rFonts w:eastAsia="Times New Roman"/>
      <w:szCs w:val="20"/>
      <w:lang w:eastAsia="en-US"/>
    </w:rPr>
  </w:style>
  <w:style w:type="paragraph" w:customStyle="1" w:styleId="DeptBullets">
    <w:name w:val="DeptBullets"/>
    <w:basedOn w:val="Normal"/>
    <w:link w:val="DeptBulletsChar"/>
    <w:rsid w:val="005303D1"/>
    <w:pPr>
      <w:widowControl w:val="0"/>
      <w:numPr>
        <w:numId w:val="3"/>
      </w:numPr>
      <w:overflowPunct w:val="0"/>
      <w:autoSpaceDE w:val="0"/>
      <w:autoSpaceDN w:val="0"/>
      <w:adjustRightInd w:val="0"/>
      <w:spacing w:after="240"/>
      <w:textAlignment w:val="baseline"/>
    </w:pPr>
    <w:rPr>
      <w:rFonts w:eastAsia="Times New Roman" w:cs="Times New Roman"/>
    </w:rPr>
  </w:style>
  <w:style w:type="character" w:customStyle="1" w:styleId="DeptBulletsChar">
    <w:name w:val="DeptBullets Char"/>
    <w:basedOn w:val="DefaultParagraphFont"/>
    <w:link w:val="DeptBullets"/>
    <w:locked/>
    <w:rsid w:val="005303D1"/>
    <w:rPr>
      <w:rFonts w:eastAsia="Times New Roman" w:cs="Times New Roman"/>
      <w:sz w:val="24"/>
      <w:szCs w:val="20"/>
      <w:lang w:eastAsia="en-US"/>
    </w:rPr>
  </w:style>
  <w:style w:type="character" w:styleId="CommentReference">
    <w:name w:val="annotation reference"/>
    <w:basedOn w:val="DefaultParagraphFont"/>
    <w:rsid w:val="00F911E8"/>
    <w:rPr>
      <w:rFonts w:cs="Times New Roman"/>
      <w:sz w:val="16"/>
      <w:szCs w:val="16"/>
    </w:rPr>
  </w:style>
  <w:style w:type="paragraph" w:styleId="CommentText">
    <w:name w:val="annotation text"/>
    <w:basedOn w:val="Normal"/>
    <w:link w:val="CommentTextChar"/>
    <w:rsid w:val="00F911E8"/>
    <w:rPr>
      <w:sz w:val="20"/>
    </w:rPr>
  </w:style>
  <w:style w:type="character" w:customStyle="1" w:styleId="CommentTextChar">
    <w:name w:val="Comment Text Char"/>
    <w:basedOn w:val="DefaultParagraphFont"/>
    <w:link w:val="CommentText"/>
    <w:locked/>
    <w:rsid w:val="00F911E8"/>
    <w:rPr>
      <w:rFonts w:cs="Times New Roman"/>
      <w:sz w:val="20"/>
    </w:rPr>
  </w:style>
  <w:style w:type="paragraph" w:styleId="CommentSubject">
    <w:name w:val="annotation subject"/>
    <w:basedOn w:val="CommentText"/>
    <w:next w:val="CommentText"/>
    <w:link w:val="CommentSubjectChar"/>
    <w:rsid w:val="00F911E8"/>
    <w:rPr>
      <w:b/>
      <w:bCs/>
    </w:rPr>
  </w:style>
  <w:style w:type="character" w:customStyle="1" w:styleId="CommentSubjectChar">
    <w:name w:val="Comment Subject Char"/>
    <w:basedOn w:val="CommentTextChar"/>
    <w:link w:val="CommentSubject"/>
    <w:locked/>
    <w:rsid w:val="00F911E8"/>
    <w:rPr>
      <w:rFonts w:cs="Times New Roman"/>
      <w:b/>
      <w:bCs/>
      <w:sz w:val="20"/>
    </w:rPr>
  </w:style>
  <w:style w:type="paragraph" w:styleId="Revision">
    <w:name w:val="Revision"/>
    <w:hidden/>
    <w:uiPriority w:val="99"/>
    <w:semiHidden/>
    <w:rsid w:val="00F911E8"/>
    <w:rPr>
      <w:sz w:val="24"/>
      <w:szCs w:val="20"/>
      <w:lang w:eastAsia="en-US"/>
    </w:rPr>
  </w:style>
  <w:style w:type="character" w:customStyle="1" w:styleId="ListParagraphChar">
    <w:name w:val="List Paragraph Char"/>
    <w:basedOn w:val="DefaultParagraphFont"/>
    <w:link w:val="ListParagraph"/>
    <w:uiPriority w:val="99"/>
    <w:locked/>
    <w:rsid w:val="00527DBB"/>
    <w:rPr>
      <w:rFonts w:eastAsia="Times New Roman" w:cs="Times New Roman"/>
      <w:sz w:val="24"/>
      <w:szCs w:val="20"/>
      <w:lang w:eastAsia="en-US"/>
    </w:rPr>
  </w:style>
  <w:style w:type="character" w:styleId="Emphasis">
    <w:name w:val="Emphasis"/>
    <w:basedOn w:val="DefaultParagraphFont"/>
    <w:uiPriority w:val="20"/>
    <w:qFormat/>
    <w:locked/>
    <w:rsid w:val="00527DBB"/>
    <w:rPr>
      <w:i/>
      <w:iCs/>
    </w:rPr>
  </w:style>
  <w:style w:type="table" w:styleId="TableGrid">
    <w:name w:val="Table Grid"/>
    <w:basedOn w:val="TableNormal"/>
    <w:locked/>
    <w:rsid w:val="0025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C2034"/>
    <w:rPr>
      <w:color w:val="0000FF"/>
      <w:u w:val="single"/>
    </w:rPr>
  </w:style>
  <w:style w:type="paragraph" w:styleId="FootnoteText">
    <w:name w:val="footnote text"/>
    <w:basedOn w:val="Normal"/>
    <w:link w:val="FootnoteTextChar"/>
    <w:uiPriority w:val="99"/>
    <w:rsid w:val="00CC2034"/>
    <w:pPr>
      <w:widowControl w:val="0"/>
      <w:overflowPunct w:val="0"/>
      <w:autoSpaceDE w:val="0"/>
      <w:autoSpaceDN w:val="0"/>
      <w:adjustRightInd w:val="0"/>
      <w:textAlignment w:val="baseline"/>
    </w:pPr>
    <w:rPr>
      <w:rFonts w:eastAsia="Times New Roman" w:cs="Times New Roman"/>
      <w:sz w:val="20"/>
    </w:rPr>
  </w:style>
  <w:style w:type="character" w:customStyle="1" w:styleId="FootnoteTextChar">
    <w:name w:val="Footnote Text Char"/>
    <w:basedOn w:val="DefaultParagraphFont"/>
    <w:link w:val="FootnoteText"/>
    <w:uiPriority w:val="99"/>
    <w:rsid w:val="00CC2034"/>
    <w:rPr>
      <w:rFonts w:eastAsia="Times New Roman" w:cs="Times New Roman"/>
      <w:sz w:val="20"/>
      <w:szCs w:val="20"/>
      <w:lang w:eastAsia="en-US"/>
    </w:rPr>
  </w:style>
  <w:style w:type="character" w:styleId="FootnoteReference">
    <w:name w:val="footnote reference"/>
    <w:uiPriority w:val="99"/>
    <w:rsid w:val="00CC2034"/>
    <w:rPr>
      <w:vertAlign w:val="superscript"/>
    </w:rPr>
  </w:style>
  <w:style w:type="character" w:customStyle="1" w:styleId="Heading1Char">
    <w:name w:val="Heading 1 Char"/>
    <w:aliases w:val="Numbered - 1 Char"/>
    <w:basedOn w:val="DefaultParagraphFont"/>
    <w:link w:val="Heading1"/>
    <w:uiPriority w:val="9"/>
    <w:rsid w:val="007C1F93"/>
    <w:rPr>
      <w:rFonts w:eastAsia="Times New Roman" w:cs="Times New Roman"/>
      <w:b/>
      <w:kern w:val="28"/>
      <w:sz w:val="24"/>
      <w:szCs w:val="20"/>
      <w:lang w:eastAsia="en-US"/>
    </w:rPr>
  </w:style>
  <w:style w:type="character" w:customStyle="1" w:styleId="Heading2Char">
    <w:name w:val="Heading 2 Char"/>
    <w:aliases w:val="Numbered - 2 Char"/>
    <w:basedOn w:val="DefaultParagraphFont"/>
    <w:link w:val="Heading2"/>
    <w:rsid w:val="007C1F93"/>
    <w:rPr>
      <w:rFonts w:eastAsia="Times New Roman" w:cs="Times New Roman"/>
      <w:b/>
      <w:kern w:val="28"/>
      <w:sz w:val="24"/>
      <w:szCs w:val="20"/>
      <w:lang w:eastAsia="en-US"/>
    </w:rPr>
  </w:style>
  <w:style w:type="character" w:customStyle="1" w:styleId="Heading3Char">
    <w:name w:val="Heading 3 Char"/>
    <w:aliases w:val="Numbered - 3 Char"/>
    <w:basedOn w:val="DefaultParagraphFont"/>
    <w:link w:val="Heading3"/>
    <w:rsid w:val="007C1F93"/>
    <w:rPr>
      <w:rFonts w:eastAsia="Times New Roman" w:cs="Times New Roman"/>
      <w:kern w:val="28"/>
      <w:sz w:val="24"/>
      <w:szCs w:val="20"/>
      <w:lang w:eastAsia="en-US"/>
    </w:rPr>
  </w:style>
  <w:style w:type="character" w:customStyle="1" w:styleId="Heading4Char">
    <w:name w:val="Heading 4 Char"/>
    <w:aliases w:val="Numbered - 4 Char"/>
    <w:basedOn w:val="DefaultParagraphFont"/>
    <w:link w:val="Heading4"/>
    <w:rsid w:val="007C1F93"/>
    <w:rPr>
      <w:rFonts w:eastAsia="Times New Roman" w:cs="Times New Roman"/>
      <w:kern w:val="28"/>
      <w:sz w:val="24"/>
      <w:szCs w:val="20"/>
      <w:lang w:eastAsia="en-US"/>
    </w:rPr>
  </w:style>
  <w:style w:type="character" w:customStyle="1" w:styleId="Heading5Char">
    <w:name w:val="Heading 5 Char"/>
    <w:aliases w:val="Numbered - 5 Char"/>
    <w:basedOn w:val="DefaultParagraphFont"/>
    <w:link w:val="Heading5"/>
    <w:rsid w:val="007C1F93"/>
    <w:rPr>
      <w:rFonts w:eastAsia="Times New Roman" w:cs="Times New Roman"/>
      <w:kern w:val="28"/>
      <w:sz w:val="24"/>
      <w:szCs w:val="20"/>
      <w:lang w:eastAsia="en-US"/>
    </w:rPr>
  </w:style>
  <w:style w:type="character" w:customStyle="1" w:styleId="Heading6Char">
    <w:name w:val="Heading 6 Char"/>
    <w:aliases w:val="Numbered - 6 Char"/>
    <w:basedOn w:val="DefaultParagraphFont"/>
    <w:link w:val="Heading6"/>
    <w:rsid w:val="007C1F93"/>
    <w:rPr>
      <w:rFonts w:eastAsia="Times New Roman" w:cs="Times New Roman"/>
      <w:kern w:val="28"/>
      <w:sz w:val="24"/>
      <w:szCs w:val="20"/>
      <w:lang w:eastAsia="en-US"/>
    </w:rPr>
  </w:style>
  <w:style w:type="character" w:customStyle="1" w:styleId="Heading7Char">
    <w:name w:val="Heading 7 Char"/>
    <w:aliases w:val="Numbered - 7 Char"/>
    <w:basedOn w:val="DefaultParagraphFont"/>
    <w:link w:val="Heading7"/>
    <w:rsid w:val="007C1F93"/>
    <w:rPr>
      <w:rFonts w:eastAsia="Times New Roman" w:cs="Times New Roman"/>
      <w:kern w:val="28"/>
      <w:sz w:val="24"/>
      <w:szCs w:val="20"/>
      <w:lang w:eastAsia="en-US"/>
    </w:rPr>
  </w:style>
  <w:style w:type="character" w:customStyle="1" w:styleId="Heading8Char">
    <w:name w:val="Heading 8 Char"/>
    <w:aliases w:val="Numbered - 8 Char"/>
    <w:basedOn w:val="DefaultParagraphFont"/>
    <w:link w:val="Heading8"/>
    <w:rsid w:val="007C1F93"/>
    <w:rPr>
      <w:rFonts w:eastAsia="Times New Roman" w:cs="Times New Roman"/>
      <w:kern w:val="28"/>
      <w:sz w:val="24"/>
      <w:szCs w:val="20"/>
      <w:lang w:eastAsia="en-US"/>
    </w:rPr>
  </w:style>
  <w:style w:type="character" w:customStyle="1" w:styleId="Heading9Char">
    <w:name w:val="Heading 9 Char"/>
    <w:aliases w:val="Numbered - 9 Char"/>
    <w:basedOn w:val="DefaultParagraphFont"/>
    <w:link w:val="Heading9"/>
    <w:rsid w:val="007C1F93"/>
    <w:rPr>
      <w:rFonts w:eastAsia="Times New Roman" w:cs="Times New Roman"/>
      <w:kern w:val="28"/>
      <w:sz w:val="24"/>
      <w:szCs w:val="20"/>
      <w:lang w:eastAsia="en-US"/>
    </w:rPr>
  </w:style>
  <w:style w:type="paragraph" w:styleId="BodyText">
    <w:name w:val="Body Text"/>
    <w:basedOn w:val="Normal"/>
    <w:link w:val="BodyTextChar"/>
    <w:rsid w:val="007C1F93"/>
    <w:pPr>
      <w:widowControl w:val="0"/>
      <w:overflowPunct w:val="0"/>
      <w:autoSpaceDE w:val="0"/>
      <w:autoSpaceDN w:val="0"/>
      <w:adjustRightInd w:val="0"/>
      <w:textAlignment w:val="baseline"/>
    </w:pPr>
    <w:rPr>
      <w:rFonts w:eastAsia="Times New Roman" w:cs="Times New Roman"/>
    </w:rPr>
  </w:style>
  <w:style w:type="character" w:customStyle="1" w:styleId="BodyTextChar">
    <w:name w:val="Body Text Char"/>
    <w:basedOn w:val="DefaultParagraphFont"/>
    <w:link w:val="BodyText"/>
    <w:rsid w:val="007C1F93"/>
    <w:rPr>
      <w:rFonts w:eastAsia="Times New Roman" w:cs="Times New Roman"/>
      <w:sz w:val="24"/>
      <w:szCs w:val="20"/>
      <w:lang w:eastAsia="en-US"/>
    </w:rPr>
  </w:style>
  <w:style w:type="paragraph" w:styleId="BodyTextIndent">
    <w:name w:val="Body Text Indent"/>
    <w:basedOn w:val="Normal"/>
    <w:link w:val="BodyTextIndentChar"/>
    <w:rsid w:val="007C1F93"/>
    <w:pPr>
      <w:widowControl w:val="0"/>
      <w:overflowPunct w:val="0"/>
      <w:autoSpaceDE w:val="0"/>
      <w:autoSpaceDN w:val="0"/>
      <w:adjustRightInd w:val="0"/>
      <w:ind w:left="288"/>
      <w:textAlignment w:val="baseline"/>
    </w:pPr>
    <w:rPr>
      <w:rFonts w:eastAsia="Times New Roman" w:cs="Times New Roman"/>
    </w:rPr>
  </w:style>
  <w:style w:type="character" w:customStyle="1" w:styleId="BodyTextIndentChar">
    <w:name w:val="Body Text Indent Char"/>
    <w:basedOn w:val="DefaultParagraphFont"/>
    <w:link w:val="BodyTextIndent"/>
    <w:rsid w:val="007C1F93"/>
    <w:rPr>
      <w:rFonts w:eastAsia="Times New Roman" w:cs="Times New Roman"/>
      <w:sz w:val="24"/>
      <w:szCs w:val="20"/>
      <w:lang w:eastAsia="en-US"/>
    </w:rPr>
  </w:style>
  <w:style w:type="paragraph" w:customStyle="1" w:styleId="DeptOutNumbered">
    <w:name w:val="DeptOutNumbered"/>
    <w:basedOn w:val="Normal"/>
    <w:uiPriority w:val="99"/>
    <w:rsid w:val="007C1F93"/>
    <w:pPr>
      <w:widowControl w:val="0"/>
      <w:numPr>
        <w:numId w:val="19"/>
      </w:numPr>
      <w:tabs>
        <w:tab w:val="clear" w:pos="720"/>
        <w:tab w:val="num" w:pos="360"/>
      </w:tabs>
      <w:overflowPunct w:val="0"/>
      <w:autoSpaceDE w:val="0"/>
      <w:autoSpaceDN w:val="0"/>
      <w:adjustRightInd w:val="0"/>
      <w:spacing w:after="240"/>
      <w:textAlignment w:val="baseline"/>
    </w:pPr>
    <w:rPr>
      <w:rFonts w:eastAsia="Times New Roman" w:cs="Times New Roman"/>
    </w:rPr>
  </w:style>
  <w:style w:type="paragraph" w:customStyle="1" w:styleId="Heading">
    <w:name w:val="Heading"/>
    <w:basedOn w:val="Normal"/>
    <w:next w:val="Normal"/>
    <w:rsid w:val="007C1F93"/>
    <w:pPr>
      <w:keepNext/>
      <w:keepLines/>
      <w:widowControl w:val="0"/>
      <w:overflowPunct w:val="0"/>
      <w:autoSpaceDE w:val="0"/>
      <w:autoSpaceDN w:val="0"/>
      <w:adjustRightInd w:val="0"/>
      <w:spacing w:before="240" w:after="240"/>
      <w:ind w:left="-720"/>
      <w:textAlignment w:val="baseline"/>
    </w:pPr>
    <w:rPr>
      <w:rFonts w:eastAsia="Times New Roman" w:cs="Times New Roman"/>
      <w:b/>
    </w:rPr>
  </w:style>
  <w:style w:type="paragraph" w:customStyle="1" w:styleId="MinuteTop">
    <w:name w:val="Minute Top"/>
    <w:basedOn w:val="Normal"/>
    <w:rsid w:val="007C1F93"/>
    <w:pPr>
      <w:widowControl w:val="0"/>
      <w:tabs>
        <w:tab w:val="left" w:pos="4680"/>
        <w:tab w:val="left" w:pos="5587"/>
      </w:tabs>
      <w:overflowPunct w:val="0"/>
      <w:autoSpaceDE w:val="0"/>
      <w:autoSpaceDN w:val="0"/>
      <w:adjustRightInd w:val="0"/>
      <w:textAlignment w:val="baseline"/>
    </w:pPr>
    <w:rPr>
      <w:rFonts w:eastAsia="Times New Roman" w:cs="Times New Roman"/>
    </w:rPr>
  </w:style>
  <w:style w:type="paragraph" w:customStyle="1" w:styleId="Numbered">
    <w:name w:val="Numbered"/>
    <w:basedOn w:val="Normal"/>
    <w:rsid w:val="007C1F93"/>
    <w:pPr>
      <w:widowControl w:val="0"/>
      <w:overflowPunct w:val="0"/>
      <w:autoSpaceDE w:val="0"/>
      <w:autoSpaceDN w:val="0"/>
      <w:adjustRightInd w:val="0"/>
      <w:spacing w:after="240"/>
      <w:textAlignment w:val="baseline"/>
    </w:pPr>
    <w:rPr>
      <w:rFonts w:eastAsia="Times New Roman" w:cs="Times New Roman"/>
    </w:rPr>
  </w:style>
  <w:style w:type="character" w:styleId="PageNumber">
    <w:name w:val="page number"/>
    <w:basedOn w:val="DefaultParagraphFont"/>
    <w:rsid w:val="007C1F93"/>
  </w:style>
  <w:style w:type="character" w:customStyle="1" w:styleId="PersonalComposeStyle">
    <w:name w:val="Personal Compose Style"/>
    <w:rsid w:val="007C1F93"/>
    <w:rPr>
      <w:rFonts w:ascii="Arial" w:hAnsi="Arial" w:cs="Arial"/>
      <w:color w:val="auto"/>
      <w:sz w:val="20"/>
    </w:rPr>
  </w:style>
  <w:style w:type="character" w:customStyle="1" w:styleId="PersonalReplyStyle">
    <w:name w:val="Personal Reply Style"/>
    <w:rsid w:val="007C1F93"/>
    <w:rPr>
      <w:rFonts w:ascii="Arial" w:hAnsi="Arial" w:cs="Arial"/>
      <w:color w:val="auto"/>
      <w:sz w:val="20"/>
    </w:rPr>
  </w:style>
  <w:style w:type="paragraph" w:customStyle="1" w:styleId="Sub-Heading">
    <w:name w:val="Sub-Heading"/>
    <w:basedOn w:val="Heading"/>
    <w:next w:val="Numbered"/>
    <w:rsid w:val="007C1F93"/>
    <w:pPr>
      <w:spacing w:before="0"/>
    </w:pPr>
  </w:style>
  <w:style w:type="paragraph" w:styleId="Subtitle">
    <w:name w:val="Subtitle"/>
    <w:basedOn w:val="Normal"/>
    <w:link w:val="SubtitleChar"/>
    <w:qFormat/>
    <w:locked/>
    <w:rsid w:val="007C1F93"/>
    <w:pPr>
      <w:widowControl w:val="0"/>
      <w:overflowPunct w:val="0"/>
      <w:autoSpaceDE w:val="0"/>
      <w:autoSpaceDN w:val="0"/>
      <w:adjustRightInd w:val="0"/>
      <w:spacing w:after="60"/>
      <w:jc w:val="center"/>
      <w:textAlignment w:val="baseline"/>
    </w:pPr>
    <w:rPr>
      <w:rFonts w:eastAsia="Times New Roman" w:cs="Times New Roman"/>
      <w:i/>
    </w:rPr>
  </w:style>
  <w:style w:type="character" w:customStyle="1" w:styleId="SubtitleChar">
    <w:name w:val="Subtitle Char"/>
    <w:basedOn w:val="DefaultParagraphFont"/>
    <w:link w:val="Subtitle"/>
    <w:rsid w:val="007C1F93"/>
    <w:rPr>
      <w:rFonts w:eastAsia="Times New Roman" w:cs="Times New Roman"/>
      <w:i/>
      <w:sz w:val="24"/>
      <w:szCs w:val="20"/>
      <w:lang w:eastAsia="en-US"/>
    </w:rPr>
  </w:style>
  <w:style w:type="paragraph" w:customStyle="1" w:styleId="DfESBullets">
    <w:name w:val="DfESBullets"/>
    <w:basedOn w:val="Normal"/>
    <w:rsid w:val="007C1F93"/>
    <w:pPr>
      <w:widowControl w:val="0"/>
      <w:numPr>
        <w:numId w:val="20"/>
      </w:numPr>
      <w:overflowPunct w:val="0"/>
      <w:autoSpaceDE w:val="0"/>
      <w:autoSpaceDN w:val="0"/>
      <w:adjustRightInd w:val="0"/>
      <w:spacing w:after="240"/>
      <w:textAlignment w:val="baseline"/>
    </w:pPr>
    <w:rPr>
      <w:rFonts w:eastAsia="Times New Roman"/>
      <w:sz w:val="22"/>
    </w:rPr>
  </w:style>
  <w:style w:type="paragraph" w:customStyle="1" w:styleId="Default">
    <w:name w:val="Default"/>
    <w:rsid w:val="007C1F93"/>
    <w:pPr>
      <w:autoSpaceDE w:val="0"/>
      <w:autoSpaceDN w:val="0"/>
      <w:adjustRightInd w:val="0"/>
    </w:pPr>
    <w:rPr>
      <w:rFonts w:eastAsia="Times New Roman"/>
      <w:color w:val="000000"/>
      <w:sz w:val="24"/>
      <w:szCs w:val="24"/>
    </w:rPr>
  </w:style>
  <w:style w:type="paragraph" w:customStyle="1" w:styleId="Default1">
    <w:name w:val="Default1"/>
    <w:basedOn w:val="Default"/>
    <w:next w:val="Default"/>
    <w:uiPriority w:val="99"/>
    <w:rsid w:val="007C1F93"/>
    <w:rPr>
      <w:color w:val="auto"/>
    </w:rPr>
  </w:style>
  <w:style w:type="paragraph" w:customStyle="1" w:styleId="Pa1">
    <w:name w:val="Pa1"/>
    <w:basedOn w:val="Default"/>
    <w:next w:val="Default"/>
    <w:uiPriority w:val="99"/>
    <w:rsid w:val="007C1F93"/>
    <w:pPr>
      <w:spacing w:line="241" w:lineRule="atLeast"/>
    </w:pPr>
    <w:rPr>
      <w:color w:val="auto"/>
    </w:rPr>
  </w:style>
  <w:style w:type="character" w:customStyle="1" w:styleId="A1">
    <w:name w:val="A1"/>
    <w:uiPriority w:val="99"/>
    <w:rsid w:val="007C1F93"/>
    <w:rPr>
      <w:rFonts w:ascii="Myriad Pro" w:hAnsi="Myriad Pro" w:cs="Myriad Pro"/>
      <w:color w:val="000000"/>
      <w:sz w:val="26"/>
      <w:szCs w:val="26"/>
    </w:rPr>
  </w:style>
  <w:style w:type="character" w:styleId="EndnoteReference">
    <w:name w:val="endnote reference"/>
    <w:uiPriority w:val="99"/>
    <w:unhideWhenUsed/>
    <w:rsid w:val="007C1F93"/>
    <w:rPr>
      <w:vertAlign w:val="superscript"/>
    </w:rPr>
  </w:style>
  <w:style w:type="paragraph" w:styleId="PlainText">
    <w:name w:val="Plain Text"/>
    <w:basedOn w:val="Normal"/>
    <w:link w:val="PlainTextChar"/>
    <w:uiPriority w:val="99"/>
    <w:rsid w:val="007C1F93"/>
    <w:pPr>
      <w:widowControl w:val="0"/>
      <w:overflowPunct w:val="0"/>
      <w:autoSpaceDE w:val="0"/>
      <w:autoSpaceDN w:val="0"/>
      <w:adjustRightInd w:val="0"/>
      <w:textAlignment w:val="baseline"/>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C1F93"/>
    <w:rPr>
      <w:rFonts w:ascii="Consolas" w:eastAsia="Times New Roman" w:hAnsi="Consolas" w:cs="Times New Roman"/>
      <w:sz w:val="21"/>
      <w:szCs w:val="21"/>
      <w:lang w:eastAsia="en-US"/>
    </w:rPr>
  </w:style>
  <w:style w:type="paragraph" w:styleId="NormalWeb">
    <w:name w:val="Normal (Web)"/>
    <w:basedOn w:val="Normal"/>
    <w:uiPriority w:val="99"/>
    <w:unhideWhenUsed/>
    <w:rsid w:val="007C1F93"/>
    <w:pPr>
      <w:spacing w:before="240" w:after="240"/>
    </w:pPr>
    <w:rPr>
      <w:rFonts w:ascii="Times New Roman" w:eastAsia="Times New Roman" w:hAnsi="Times New Roman" w:cs="Times New Roman"/>
      <w:szCs w:val="24"/>
      <w:lang w:eastAsia="en-GB"/>
    </w:rPr>
  </w:style>
  <w:style w:type="character" w:styleId="FollowedHyperlink">
    <w:name w:val="FollowedHyperlink"/>
    <w:rsid w:val="007C1F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2736">
      <w:marLeft w:val="0"/>
      <w:marRight w:val="0"/>
      <w:marTop w:val="0"/>
      <w:marBottom w:val="0"/>
      <w:divBdr>
        <w:top w:val="none" w:sz="0" w:space="0" w:color="auto"/>
        <w:left w:val="none" w:sz="0" w:space="0" w:color="auto"/>
        <w:bottom w:val="none" w:sz="0" w:space="0" w:color="auto"/>
        <w:right w:val="none" w:sz="0" w:space="0" w:color="auto"/>
      </w:divBdr>
    </w:div>
    <w:div w:id="74592737">
      <w:marLeft w:val="0"/>
      <w:marRight w:val="0"/>
      <w:marTop w:val="0"/>
      <w:marBottom w:val="0"/>
      <w:divBdr>
        <w:top w:val="none" w:sz="0" w:space="0" w:color="auto"/>
        <w:left w:val="none" w:sz="0" w:space="0" w:color="auto"/>
        <w:bottom w:val="none" w:sz="0" w:space="0" w:color="auto"/>
        <w:right w:val="none" w:sz="0" w:space="0" w:color="auto"/>
      </w:divBdr>
    </w:div>
    <w:div w:id="74592738">
      <w:marLeft w:val="0"/>
      <w:marRight w:val="0"/>
      <w:marTop w:val="0"/>
      <w:marBottom w:val="0"/>
      <w:divBdr>
        <w:top w:val="none" w:sz="0" w:space="0" w:color="auto"/>
        <w:left w:val="none" w:sz="0" w:space="0" w:color="auto"/>
        <w:bottom w:val="none" w:sz="0" w:space="0" w:color="auto"/>
        <w:right w:val="none" w:sz="0" w:space="0" w:color="auto"/>
      </w:divBdr>
    </w:div>
    <w:div w:id="74592739">
      <w:marLeft w:val="0"/>
      <w:marRight w:val="0"/>
      <w:marTop w:val="0"/>
      <w:marBottom w:val="0"/>
      <w:divBdr>
        <w:top w:val="none" w:sz="0" w:space="0" w:color="auto"/>
        <w:left w:val="none" w:sz="0" w:space="0" w:color="auto"/>
        <w:bottom w:val="none" w:sz="0" w:space="0" w:color="auto"/>
        <w:right w:val="none" w:sz="0" w:space="0" w:color="auto"/>
      </w:divBdr>
    </w:div>
    <w:div w:id="74592740">
      <w:marLeft w:val="0"/>
      <w:marRight w:val="0"/>
      <w:marTop w:val="0"/>
      <w:marBottom w:val="0"/>
      <w:divBdr>
        <w:top w:val="none" w:sz="0" w:space="0" w:color="auto"/>
        <w:left w:val="none" w:sz="0" w:space="0" w:color="auto"/>
        <w:bottom w:val="none" w:sz="0" w:space="0" w:color="auto"/>
        <w:right w:val="none" w:sz="0" w:space="0" w:color="auto"/>
      </w:divBdr>
    </w:div>
    <w:div w:id="74592741">
      <w:marLeft w:val="0"/>
      <w:marRight w:val="0"/>
      <w:marTop w:val="0"/>
      <w:marBottom w:val="0"/>
      <w:divBdr>
        <w:top w:val="none" w:sz="0" w:space="0" w:color="auto"/>
        <w:left w:val="none" w:sz="0" w:space="0" w:color="auto"/>
        <w:bottom w:val="none" w:sz="0" w:space="0" w:color="auto"/>
        <w:right w:val="none" w:sz="0" w:space="0" w:color="auto"/>
      </w:divBdr>
    </w:div>
    <w:div w:id="74592742">
      <w:marLeft w:val="0"/>
      <w:marRight w:val="0"/>
      <w:marTop w:val="0"/>
      <w:marBottom w:val="0"/>
      <w:divBdr>
        <w:top w:val="none" w:sz="0" w:space="0" w:color="auto"/>
        <w:left w:val="none" w:sz="0" w:space="0" w:color="auto"/>
        <w:bottom w:val="none" w:sz="0" w:space="0" w:color="auto"/>
        <w:right w:val="none" w:sz="0" w:space="0" w:color="auto"/>
      </w:divBdr>
    </w:div>
    <w:div w:id="311064401">
      <w:bodyDiv w:val="1"/>
      <w:marLeft w:val="0"/>
      <w:marRight w:val="0"/>
      <w:marTop w:val="0"/>
      <w:marBottom w:val="0"/>
      <w:divBdr>
        <w:top w:val="none" w:sz="0" w:space="0" w:color="auto"/>
        <w:left w:val="none" w:sz="0" w:space="0" w:color="auto"/>
        <w:bottom w:val="none" w:sz="0" w:space="0" w:color="auto"/>
        <w:right w:val="none" w:sz="0" w:space="0" w:color="auto"/>
      </w:divBdr>
    </w:div>
    <w:div w:id="618998072">
      <w:bodyDiv w:val="1"/>
      <w:marLeft w:val="0"/>
      <w:marRight w:val="0"/>
      <w:marTop w:val="0"/>
      <w:marBottom w:val="0"/>
      <w:divBdr>
        <w:top w:val="none" w:sz="0" w:space="0" w:color="auto"/>
        <w:left w:val="none" w:sz="0" w:space="0" w:color="auto"/>
        <w:bottom w:val="none" w:sz="0" w:space="0" w:color="auto"/>
        <w:right w:val="none" w:sz="0" w:space="0" w:color="auto"/>
      </w:divBdr>
    </w:div>
    <w:div w:id="669411310">
      <w:bodyDiv w:val="1"/>
      <w:marLeft w:val="0"/>
      <w:marRight w:val="0"/>
      <w:marTop w:val="0"/>
      <w:marBottom w:val="0"/>
      <w:divBdr>
        <w:top w:val="none" w:sz="0" w:space="0" w:color="auto"/>
        <w:left w:val="none" w:sz="0" w:space="0" w:color="auto"/>
        <w:bottom w:val="none" w:sz="0" w:space="0" w:color="auto"/>
        <w:right w:val="none" w:sz="0" w:space="0" w:color="auto"/>
      </w:divBdr>
    </w:div>
    <w:div w:id="740098743">
      <w:bodyDiv w:val="1"/>
      <w:marLeft w:val="0"/>
      <w:marRight w:val="0"/>
      <w:marTop w:val="0"/>
      <w:marBottom w:val="0"/>
      <w:divBdr>
        <w:top w:val="none" w:sz="0" w:space="0" w:color="auto"/>
        <w:left w:val="none" w:sz="0" w:space="0" w:color="auto"/>
        <w:bottom w:val="none" w:sz="0" w:space="0" w:color="auto"/>
        <w:right w:val="none" w:sz="0" w:space="0" w:color="auto"/>
      </w:divBdr>
    </w:div>
    <w:div w:id="772046264">
      <w:bodyDiv w:val="1"/>
      <w:marLeft w:val="0"/>
      <w:marRight w:val="0"/>
      <w:marTop w:val="0"/>
      <w:marBottom w:val="0"/>
      <w:divBdr>
        <w:top w:val="none" w:sz="0" w:space="0" w:color="auto"/>
        <w:left w:val="none" w:sz="0" w:space="0" w:color="auto"/>
        <w:bottom w:val="none" w:sz="0" w:space="0" w:color="auto"/>
        <w:right w:val="none" w:sz="0" w:space="0" w:color="auto"/>
      </w:divBdr>
    </w:div>
    <w:div w:id="905845097">
      <w:bodyDiv w:val="1"/>
      <w:marLeft w:val="0"/>
      <w:marRight w:val="0"/>
      <w:marTop w:val="0"/>
      <w:marBottom w:val="0"/>
      <w:divBdr>
        <w:top w:val="none" w:sz="0" w:space="0" w:color="auto"/>
        <w:left w:val="none" w:sz="0" w:space="0" w:color="auto"/>
        <w:bottom w:val="none" w:sz="0" w:space="0" w:color="auto"/>
        <w:right w:val="none" w:sz="0" w:space="0" w:color="auto"/>
      </w:divBdr>
    </w:div>
    <w:div w:id="923149151">
      <w:bodyDiv w:val="1"/>
      <w:marLeft w:val="0"/>
      <w:marRight w:val="0"/>
      <w:marTop w:val="0"/>
      <w:marBottom w:val="0"/>
      <w:divBdr>
        <w:top w:val="none" w:sz="0" w:space="0" w:color="auto"/>
        <w:left w:val="none" w:sz="0" w:space="0" w:color="auto"/>
        <w:bottom w:val="none" w:sz="0" w:space="0" w:color="auto"/>
        <w:right w:val="none" w:sz="0" w:space="0" w:color="auto"/>
      </w:divBdr>
    </w:div>
    <w:div w:id="973633730">
      <w:bodyDiv w:val="1"/>
      <w:marLeft w:val="0"/>
      <w:marRight w:val="0"/>
      <w:marTop w:val="0"/>
      <w:marBottom w:val="0"/>
      <w:divBdr>
        <w:top w:val="none" w:sz="0" w:space="0" w:color="auto"/>
        <w:left w:val="none" w:sz="0" w:space="0" w:color="auto"/>
        <w:bottom w:val="none" w:sz="0" w:space="0" w:color="auto"/>
        <w:right w:val="none" w:sz="0" w:space="0" w:color="auto"/>
      </w:divBdr>
    </w:div>
    <w:div w:id="977539399">
      <w:bodyDiv w:val="1"/>
      <w:marLeft w:val="0"/>
      <w:marRight w:val="0"/>
      <w:marTop w:val="0"/>
      <w:marBottom w:val="0"/>
      <w:divBdr>
        <w:top w:val="none" w:sz="0" w:space="0" w:color="auto"/>
        <w:left w:val="none" w:sz="0" w:space="0" w:color="auto"/>
        <w:bottom w:val="none" w:sz="0" w:space="0" w:color="auto"/>
        <w:right w:val="none" w:sz="0" w:space="0" w:color="auto"/>
      </w:divBdr>
    </w:div>
    <w:div w:id="986518132">
      <w:bodyDiv w:val="1"/>
      <w:marLeft w:val="0"/>
      <w:marRight w:val="0"/>
      <w:marTop w:val="0"/>
      <w:marBottom w:val="0"/>
      <w:divBdr>
        <w:top w:val="none" w:sz="0" w:space="0" w:color="auto"/>
        <w:left w:val="none" w:sz="0" w:space="0" w:color="auto"/>
        <w:bottom w:val="none" w:sz="0" w:space="0" w:color="auto"/>
        <w:right w:val="none" w:sz="0" w:space="0" w:color="auto"/>
      </w:divBdr>
    </w:div>
    <w:div w:id="1014189286">
      <w:bodyDiv w:val="1"/>
      <w:marLeft w:val="0"/>
      <w:marRight w:val="0"/>
      <w:marTop w:val="0"/>
      <w:marBottom w:val="0"/>
      <w:divBdr>
        <w:top w:val="none" w:sz="0" w:space="0" w:color="auto"/>
        <w:left w:val="none" w:sz="0" w:space="0" w:color="auto"/>
        <w:bottom w:val="none" w:sz="0" w:space="0" w:color="auto"/>
        <w:right w:val="none" w:sz="0" w:space="0" w:color="auto"/>
      </w:divBdr>
    </w:div>
    <w:div w:id="1041131725">
      <w:bodyDiv w:val="1"/>
      <w:marLeft w:val="0"/>
      <w:marRight w:val="0"/>
      <w:marTop w:val="0"/>
      <w:marBottom w:val="0"/>
      <w:divBdr>
        <w:top w:val="none" w:sz="0" w:space="0" w:color="auto"/>
        <w:left w:val="none" w:sz="0" w:space="0" w:color="auto"/>
        <w:bottom w:val="none" w:sz="0" w:space="0" w:color="auto"/>
        <w:right w:val="none" w:sz="0" w:space="0" w:color="auto"/>
      </w:divBdr>
    </w:div>
    <w:div w:id="1063408870">
      <w:bodyDiv w:val="1"/>
      <w:marLeft w:val="0"/>
      <w:marRight w:val="0"/>
      <w:marTop w:val="0"/>
      <w:marBottom w:val="0"/>
      <w:divBdr>
        <w:top w:val="none" w:sz="0" w:space="0" w:color="auto"/>
        <w:left w:val="none" w:sz="0" w:space="0" w:color="auto"/>
        <w:bottom w:val="none" w:sz="0" w:space="0" w:color="auto"/>
        <w:right w:val="none" w:sz="0" w:space="0" w:color="auto"/>
      </w:divBdr>
    </w:div>
    <w:div w:id="1116682434">
      <w:bodyDiv w:val="1"/>
      <w:marLeft w:val="0"/>
      <w:marRight w:val="0"/>
      <w:marTop w:val="0"/>
      <w:marBottom w:val="0"/>
      <w:divBdr>
        <w:top w:val="none" w:sz="0" w:space="0" w:color="auto"/>
        <w:left w:val="none" w:sz="0" w:space="0" w:color="auto"/>
        <w:bottom w:val="none" w:sz="0" w:space="0" w:color="auto"/>
        <w:right w:val="none" w:sz="0" w:space="0" w:color="auto"/>
      </w:divBdr>
    </w:div>
    <w:div w:id="1150823274">
      <w:bodyDiv w:val="1"/>
      <w:marLeft w:val="0"/>
      <w:marRight w:val="0"/>
      <w:marTop w:val="0"/>
      <w:marBottom w:val="0"/>
      <w:divBdr>
        <w:top w:val="none" w:sz="0" w:space="0" w:color="auto"/>
        <w:left w:val="none" w:sz="0" w:space="0" w:color="auto"/>
        <w:bottom w:val="none" w:sz="0" w:space="0" w:color="auto"/>
        <w:right w:val="none" w:sz="0" w:space="0" w:color="auto"/>
      </w:divBdr>
    </w:div>
    <w:div w:id="1393967604">
      <w:bodyDiv w:val="1"/>
      <w:marLeft w:val="0"/>
      <w:marRight w:val="0"/>
      <w:marTop w:val="0"/>
      <w:marBottom w:val="0"/>
      <w:divBdr>
        <w:top w:val="none" w:sz="0" w:space="0" w:color="auto"/>
        <w:left w:val="none" w:sz="0" w:space="0" w:color="auto"/>
        <w:bottom w:val="none" w:sz="0" w:space="0" w:color="auto"/>
        <w:right w:val="none" w:sz="0" w:space="0" w:color="auto"/>
      </w:divBdr>
    </w:div>
    <w:div w:id="1423599014">
      <w:bodyDiv w:val="1"/>
      <w:marLeft w:val="0"/>
      <w:marRight w:val="0"/>
      <w:marTop w:val="0"/>
      <w:marBottom w:val="0"/>
      <w:divBdr>
        <w:top w:val="none" w:sz="0" w:space="0" w:color="auto"/>
        <w:left w:val="none" w:sz="0" w:space="0" w:color="auto"/>
        <w:bottom w:val="none" w:sz="0" w:space="0" w:color="auto"/>
        <w:right w:val="none" w:sz="0" w:space="0" w:color="auto"/>
      </w:divBdr>
    </w:div>
    <w:div w:id="1570337156">
      <w:bodyDiv w:val="1"/>
      <w:marLeft w:val="0"/>
      <w:marRight w:val="0"/>
      <w:marTop w:val="0"/>
      <w:marBottom w:val="0"/>
      <w:divBdr>
        <w:top w:val="none" w:sz="0" w:space="0" w:color="auto"/>
        <w:left w:val="none" w:sz="0" w:space="0" w:color="auto"/>
        <w:bottom w:val="none" w:sz="0" w:space="0" w:color="auto"/>
        <w:right w:val="none" w:sz="0" w:space="0" w:color="auto"/>
      </w:divBdr>
    </w:div>
    <w:div w:id="1737975683">
      <w:bodyDiv w:val="1"/>
      <w:marLeft w:val="0"/>
      <w:marRight w:val="0"/>
      <w:marTop w:val="0"/>
      <w:marBottom w:val="0"/>
      <w:divBdr>
        <w:top w:val="none" w:sz="0" w:space="0" w:color="auto"/>
        <w:left w:val="none" w:sz="0" w:space="0" w:color="auto"/>
        <w:bottom w:val="none" w:sz="0" w:space="0" w:color="auto"/>
        <w:right w:val="none" w:sz="0" w:space="0" w:color="auto"/>
      </w:divBdr>
    </w:div>
    <w:div w:id="1738283746">
      <w:bodyDiv w:val="1"/>
      <w:marLeft w:val="0"/>
      <w:marRight w:val="0"/>
      <w:marTop w:val="0"/>
      <w:marBottom w:val="0"/>
      <w:divBdr>
        <w:top w:val="none" w:sz="0" w:space="0" w:color="auto"/>
        <w:left w:val="none" w:sz="0" w:space="0" w:color="auto"/>
        <w:bottom w:val="none" w:sz="0" w:space="0" w:color="auto"/>
        <w:right w:val="none" w:sz="0" w:space="0" w:color="auto"/>
      </w:divBdr>
    </w:div>
    <w:div w:id="1765304533">
      <w:bodyDiv w:val="1"/>
      <w:marLeft w:val="0"/>
      <w:marRight w:val="0"/>
      <w:marTop w:val="0"/>
      <w:marBottom w:val="0"/>
      <w:divBdr>
        <w:top w:val="none" w:sz="0" w:space="0" w:color="auto"/>
        <w:left w:val="none" w:sz="0" w:space="0" w:color="auto"/>
        <w:bottom w:val="none" w:sz="0" w:space="0" w:color="auto"/>
        <w:right w:val="none" w:sz="0" w:space="0" w:color="auto"/>
      </w:divBdr>
    </w:div>
    <w:div w:id="21238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16-19vq.CONSULTATION@education.gsi.gov.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www2.ofqual.gov.uk/standards/142-statistics-articles/429-sector-subject-area-classification-system-ssac" TargetMode="External"/><Relationship Id="rId3" Type="http://schemas.openxmlformats.org/officeDocument/2006/relationships/hyperlink" Target="https://www.education.gov.uk/publications/standard/publicationDetail/Page1/DFE-00069-2012" TargetMode="External"/><Relationship Id="rId7" Type="http://schemas.openxmlformats.org/officeDocument/2006/relationships/hyperlink" Target="http://www.education.gov.uk/rsgateway/DB/SFR/s001072/index.shtml" TargetMode="External"/><Relationship Id="rId2" Type="http://schemas.openxmlformats.org/officeDocument/2006/relationships/hyperlink" Target="http://www.education.gov.uk/childrenandyoungpeople/youngpeople/studentsupport/funding/a00210682/funding-formula-review" TargetMode="External"/><Relationship Id="rId1" Type="http://schemas.openxmlformats.org/officeDocument/2006/relationships/hyperlink" Target="https://www.education.gov.uk/publications/standard/publicationDetail/Page1/DFE-00031-2011" TargetMode="External"/><Relationship Id="rId6" Type="http://schemas.openxmlformats.org/officeDocument/2006/relationships/hyperlink" Target="http://www.education.gov.uk/rsgateway/DB/SFR/s001072/index.shtml" TargetMode="External"/><Relationship Id="rId11" Type="http://schemas.openxmlformats.org/officeDocument/2006/relationships/hyperlink" Target="http://skillsfundingagency.bis.gov.uk/training/Adult+Entitlement+to+Learning.htm" TargetMode="External"/><Relationship Id="rId5" Type="http://schemas.openxmlformats.org/officeDocument/2006/relationships/hyperlink" Target="http://www.education.gov.uk/researchandstatistics/national-pupil-database" TargetMode="External"/><Relationship Id="rId10" Type="http://schemas.openxmlformats.org/officeDocument/2006/relationships/hyperlink" Target="http://www.education.gov.uk/schools/teachingandlearning/curriculum/a00210755/16-19-study-programmes" TargetMode="External"/><Relationship Id="rId4" Type="http://schemas.openxmlformats.org/officeDocument/2006/relationships/hyperlink" Target="http://www.schoolforstartups.co.uk/richard-review/richard-review-full.pdf" TargetMode="External"/><Relationship Id="rId9" Type="http://schemas.openxmlformats.org/officeDocument/2006/relationships/hyperlink" Target="http://comment.ofqual.gov.uk/diploma-operating-rules/part-2/operating-rules-for-principal-learning-and-project-component-awarding-bodies/section-3-assessment-of-principal-learning-and-the-projec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274037860951363E-2"/>
          <c:y val="6.0946190590442123E-2"/>
          <c:w val="0.38452207666181465"/>
          <c:h val="0.87811634349030476"/>
        </c:manualLayout>
      </c:layout>
      <c:pieChart>
        <c:varyColors val="1"/>
        <c:ser>
          <c:idx val="0"/>
          <c:order val="0"/>
          <c:cat>
            <c:strRef>
              <c:f>'2012 learner route'!$A$18:$A$22</c:f>
              <c:strCache>
                <c:ptCount val="5"/>
                <c:pt idx="0">
                  <c:v>Academic only</c:v>
                </c:pt>
                <c:pt idx="1">
                  <c:v>Academic and Applied General</c:v>
                </c:pt>
                <c:pt idx="2">
                  <c:v>Applied General only</c:v>
                </c:pt>
                <c:pt idx="3">
                  <c:v>Occupational only</c:v>
                </c:pt>
                <c:pt idx="4">
                  <c:v>Other combinations</c:v>
                </c:pt>
              </c:strCache>
            </c:strRef>
          </c:cat>
          <c:val>
            <c:numRef>
              <c:f>'2012 learner route'!$C$18:$C$22</c:f>
              <c:numCache>
                <c:formatCode>0.0</c:formatCode>
                <c:ptCount val="5"/>
                <c:pt idx="0">
                  <c:v>51.307952482049807</c:v>
                </c:pt>
                <c:pt idx="1">
                  <c:v>20.162389094141854</c:v>
                </c:pt>
                <c:pt idx="2">
                  <c:v>21.563146137592522</c:v>
                </c:pt>
                <c:pt idx="3">
                  <c:v>5.6</c:v>
                </c:pt>
                <c:pt idx="4">
                  <c:v>1.4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086746652396913"/>
          <c:y val="5.5313106637293608E-2"/>
          <c:w val="0.43913251515202389"/>
          <c:h val="0.88937335049185329"/>
        </c:manualLayout>
      </c:layout>
      <c:overlay val="0"/>
      <c:txPr>
        <a:bodyPr/>
        <a:lstStyle/>
        <a:p>
          <a:pPr>
            <a:defRPr sz="11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SecurityClassificationOOB xmlns="D6625C5F-2F7B-444F-81A5-D4EA3C06D952">unclassified</SecurityClassificationOOB>
    <OwnerOOB xmlns="D6625C5F-2F7B-444F-81A5-D4EA3C06D952" xsi:nil="true"/>
    <SecurityClassification xmlns="D6625C5F-2F7B-444F-81A5-D4EA3C06D952" xsi:nil="true"/>
    <Division xmlns="D6625C5F-2F7B-444F-81A5-D4EA3C06D952">Pre-16 Qualifications Reform Division</Division>
    <Owner xmlns="D6625C5F-2F7B-444F-81A5-D4EA3C06D952" xsi:nil="true"/>
    <Team xmlns="D6625C5F-2F7B-444F-81A5-D4EA3C06D952" xsi:nil="true"/>
    <_Source xmlns="http://schemas.microsoft.com/sharepoint/v3" xsi:nil="true"/>
    <SiteTypeOOB xmlns="D6625C5F-2F7B-444F-81A5-D4EA3C06D952" xsi:nil="true"/>
    <IWPGroupOOB xmlns="D6625C5F-2F7B-444F-81A5-D4EA3C06D952" xsi:nil="true"/>
    <SiteType xmlns="D6625C5F-2F7B-444F-81A5-D4EA3C06D952" xsi:nil="true"/>
    <DocumentStatus xmlns="D6625C5F-2F7B-444F-81A5-D4EA3C06D952" xsi:nil="true"/>
    <DocumentSubject xmlns="D6625C5F-2F7B-444F-81A5-D4EA3C06D952" xsi:nil="true"/>
    <DCSFContributor xmlns="D6625C5F-2F7B-444F-81A5-D4EA3C06D952" xsi:nil="true"/>
    <Function2 xmlns="D6625C5F-2F7B-444F-81A5-D4EA3C06D952" xsi:nil="true"/>
    <Description xmlns="D6625C5F-2F7B-444F-81A5-D4EA3C06D952" xsi:nil="true"/>
    <DocumentStatusOOB xmlns="D6625C5F-2F7B-444F-81A5-D4EA3C06D952">draft</DocumentStatusOOB>
    <Function2OOB xmlns="D6625C5F-2F7B-444F-81A5-D4EA3C06D952" xsi:nil="true"/>
    <IWPGroup xmlns="D6625C5F-2F7B-444F-81A5-D4EA3C06D952" xsi:nil="true"/>
    <_Version xmlns="http://schemas.microsoft.com/sharepoint/v3" xsi:nil="true"/>
    <DocumentSubjectOOB xmlns="D6625C5F-2F7B-444F-81A5-D4EA3C06D9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olicy development" ma:contentTypeID="0x0101000706A8051BDDA64C90F797109D7E80C9003147FEFE395F1E4CABD638F7A3BAF280004C8D0B7B7E612B46A0B9F821F0258965" ma:contentTypeVersion="3" ma:contentTypeDescription="This Content Type should be used for any document relating to the development of departmental policy." ma:contentTypeScope="" ma:versionID="a4bb7db471f3a63dc8fe884433b4a8d1">
  <xsd:schema xmlns:xsd="http://www.w3.org/2001/XMLSchema" xmlns:xs="http://www.w3.org/2001/XMLSchema" xmlns:p="http://schemas.microsoft.com/office/2006/metadata/properties" xmlns:ns1="http://schemas.microsoft.com/sharepoint/v3" xmlns:ns2="D6625C5F-2F7B-444F-81A5-D4EA3C06D952" targetNamespace="http://schemas.microsoft.com/office/2006/metadata/properties" ma:root="true" ma:fieldsID="8cfd62d125dc2694fd53751cbdaae46a" ns1:_="" ns2:_="">
    <xsd:import namespace="http://schemas.microsoft.com/sharepoint/v3"/>
    <xsd:import namespace="D6625C5F-2F7B-444F-81A5-D4EA3C06D952"/>
    <xsd:element name="properties">
      <xsd:complexType>
        <xsd:sequence>
          <xsd:element name="documentManagement">
            <xsd:complexType>
              <xsd:all>
                <xsd:element ref="ns1:_Version" minOccurs="0"/>
                <xsd:element ref="ns1:_Source" minOccurs="0"/>
                <xsd:element ref="ns2:SiteType" minOccurs="0"/>
                <xsd:element ref="ns2:SiteTypeOOB" minOccurs="0"/>
                <xsd:element ref="ns2:SecurityClassification" minOccurs="0"/>
                <xsd:element ref="ns2:SecurityClassificationOOB" minOccurs="0"/>
                <xsd:element ref="ns2:DocumentStatus" minOccurs="0"/>
                <xsd:element ref="ns2:DocumentStatusOOB" minOccurs="0"/>
                <xsd:element ref="ns2:Function2" minOccurs="0"/>
                <xsd:element ref="ns2:Function2OOB" minOccurs="0"/>
                <xsd:element ref="ns2:Owner" minOccurs="0"/>
                <xsd:element ref="ns2:OwnerOOB" minOccurs="0"/>
                <xsd:element ref="ns2:DocumentSubject" minOccurs="0"/>
                <xsd:element ref="ns2:DocumentSubjectOOB" minOccurs="0"/>
                <xsd:element ref="ns2:DCSFContributor" minOccurs="0"/>
                <xsd:element ref="ns2:Description" minOccurs="0"/>
                <xsd:element ref="ns2:IWPGroup" minOccurs="0"/>
                <xsd:element ref="ns2:Division" minOccurs="0"/>
                <xsd:element ref="ns2:IWPGroupOOB"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ersion" ma:index="9" nillable="true" ma:displayName="Version" ma:hidden="true" ma:internalName="_Version">
      <xsd:simpleType>
        <xsd:restriction base="dms:Text"/>
      </xsd:simpleType>
    </xsd:element>
    <xsd:element name="_Source" ma:index="10" nillable="true" ma:displayName="Source" ma:hidden="true" ma:internalName="_Sour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625C5F-2F7B-444F-81A5-D4EA3C06D952" elementFormDefault="qualified">
    <xsd:import namespace="http://schemas.microsoft.com/office/2006/documentManagement/types"/>
    <xsd:import namespace="http://schemas.microsoft.com/office/infopath/2007/PartnerControls"/>
    <xsd:element name="SiteType" ma:index="11" nillable="true" ma:displayName="Site Type" ma:description="Site Type should be set automatically" ma:format="Dropdown" ma:hidden="true" ma:internalName="SiteType">
      <xsd:simpleType>
        <xsd:restriction base="dms:Unknown"/>
      </xsd:simpleType>
    </xsd:element>
    <xsd:element name="SiteTypeOOB" ma:index="12" nillable="true" ma:displayName="Site Type:" ma:default="" ma:description="Site Types must be selected from the Corporate Taxonomy" ma:format="Dropdown" ma:hidden="true"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hidden="true"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hidden="true"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Function2OOB" ma:index="18" nillable="true" ma:displayName="Function:" ma:description="Function must be selected from the Corporate Taxonomy" ma:format="Dropdown" ma:internalName="Function2OOB">
      <xsd:simpleType>
        <xsd:union memberTypes="dms:Text">
          <xsd:simpleType>
            <xsd:restriction base="dms:Choice">
              <xsd:enumeration value="Business people"/>
              <xsd:enumeration value="Financial management"/>
              <xsd:enumeration value="Financial regulation"/>
              <xsd:enumeration value="Information and communication"/>
              <xsd:enumeration value="Information assets"/>
              <xsd:enumeration value="Information management"/>
              <xsd:enumeration value="Resource management"/>
              <xsd:maxLength value="255"/>
            </xsd:restriction>
          </xsd:simpleType>
        </xsd:unio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nillable="true" ma:displayName="Owner:" ma:description="Owner must be selected from the Corporate Taxonomy" ma:format="Dropdown" ma:internalName="OwnerOOB" ma:readOnly="false">
      <xsd:simpleType>
        <xsd:union memberTypes="dms:Text">
          <xsd:simpleType>
            <xsd:restriction base="dms:Choice">
              <xsd:enumeration value="Analysis and Research"/>
              <xsd:enumeration value="Commercial Group"/>
              <xsd:enumeration value="Corporate and Internal Communications"/>
              <xsd:enumeration value="Corporate Services"/>
              <xsd:enumeration value="Finance Group"/>
              <xsd:enumeration value="Human Resources"/>
              <xsd:enumeration value="Private Office"/>
              <xsd:maxLength value="255"/>
            </xsd:restriction>
          </xsd:simpleType>
        </xsd:un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format="Dropdown" ma:internalName="DocumentSubjectOOB">
      <xsd:simpleType>
        <xsd:union memberTypes="dms:Text">
          <xsd:simpleType>
            <xsd:restriction base="dms:Choice">
              <xsd:enumeration value="Cabinet Office"/>
              <xsd:enumeration value="Corporate governance"/>
              <xsd:enumeration value="Correspondence"/>
              <xsd:enumeration value="Finance"/>
              <xsd:enumeration value="Financial instructions"/>
              <xsd:enumeration value="Financial management"/>
              <xsd:enumeration value="Guidance"/>
              <xsd:enumeration value="Information management"/>
              <xsd:enumeration value="Letters"/>
              <xsd:enumeration value="Ministers"/>
              <xsd:enumeration value="Parliamentary Questions"/>
              <xsd:enumeration value="Procurement"/>
              <xsd:enumeration value="Recruitment"/>
              <xsd:enumeration value="Regulations"/>
              <xsd:enumeration value="Research"/>
              <xsd:enumeration value="Resource management"/>
              <xsd:enumeration value="Standard letters"/>
              <xsd:enumeration value="Templates"/>
              <xsd:maxLength value="255"/>
            </xsd:restriction>
          </xsd:simpleType>
        </xsd:union>
      </xsd:simpleType>
    </xsd:element>
    <xsd:element name="DCSFContributor" ma:index="23" nillable="true" ma:displayName="Contributor" ma:internalName="DCSFContributor">
      <xsd:simpleType>
        <xsd:restriction base="dms:Text">
          <xsd:maxLength value="20"/>
        </xsd:restriction>
      </xsd:simpleType>
    </xsd:element>
    <xsd:element name="Description" ma:index="24" nillable="true" ma:displayName="Description" ma:description="Document Description" ma:hidden="true" ma:internalName="Description">
      <xsd:simpleType>
        <xsd:restriction base="dms:Note">
          <xsd:maxLength value="255"/>
        </xsd:restriction>
      </xsd:simpleType>
    </xsd:element>
    <xsd:element name="IWPGroup" ma:index="25" nillable="true" ma:displayName="Group" ma:format="Dropdown" ma:hidden="true" ma:internalName="IWPGroup">
      <xsd:simpleType>
        <xsd:restriction base="dms:Unknown"/>
      </xsd:simpleType>
    </xsd:element>
    <xsd:element name="Division" ma:index="26" nillable="true" ma:displayName="Division" ma:default="Pre-16 Qualifications Reform Division" ma:hidden="true" ma:internalName="Division">
      <xsd:simpleType>
        <xsd:restriction base="dms:Unknown"/>
      </xsd:simpleType>
    </xsd:element>
    <xsd:element name="IWPGroupOOB" ma:index="27" nillable="true" ma:displayName="Group:" ma:format="Dropdown" ma:internalName="IWPGroupOOB">
      <xsd:simpleType>
        <xsd:restriction base="dms:Choice">
          <xsd:enumeration value="Academies and Chains"/>
          <xsd:enumeration value="Academies Delivery Group"/>
          <xsd:enumeration value="Academies Insurance Project"/>
          <xsd:enumeration value="Academies Staff"/>
          <xsd:enumeration value="Academy Funding"/>
          <xsd:enumeration value="Academy Types"/>
          <xsd:enumeration value="Accountancy"/>
          <xsd:enumeration value="Admissions"/>
          <xsd:enumeration value="ALB Contract Transition"/>
          <xsd:enumeration value="Apprenticeships"/>
          <xsd:enumeration value="BECTA"/>
          <xsd:enumeration value="Bill Team"/>
          <xsd:enumeration value="Business Performance"/>
          <xsd:enumeration value="Business Services"/>
          <xsd:enumeration value="Business Systems"/>
          <xsd:enumeration value="CFD DST"/>
          <xsd:enumeration value="Chairs of Govenors"/>
          <xsd:enumeration value="Charity Group"/>
          <xsd:enumeration value="Chief Executives Office"/>
          <xsd:enumeration value="Chief Information Officer Group"/>
          <xsd:enumeration value="Child Well-being Group"/>
          <xsd:enumeration value="CIO Group - Governance Boards"/>
          <xsd:enumeration value="Collections"/>
          <xsd:enumeration value="Commercial Group"/>
          <xsd:enumeration value="Communications Directorate"/>
          <xsd:enumeration value="Communications DST"/>
          <xsd:enumeration value="Corporate Transformation Programme"/>
          <xsd:enumeration value="Correspondence Task Force"/>
          <xsd:enumeration value="Counter Fraud Champion Group"/>
          <xsd:enumeration value="CRM Support"/>
          <xsd:enumeration value="CSD Business Team"/>
          <xsd:enumeration value="CSD DST Workplace"/>
          <xsd:enumeration value="CSD MI Workplace"/>
          <xsd:enumeration value="Curriculum and Behaviour Group"/>
          <xsd:enumeration value="Cyber Bullying Virtual Team"/>
          <xsd:enumeration value="Defra Information WorkPlace Project"/>
          <xsd:enumeration value="Departmental Security Unit"/>
          <xsd:enumeration value="Design and Development"/>
          <xsd:enumeration value="Desktop Transition"/>
          <xsd:enumeration value="DfE Change Programme"/>
          <xsd:enumeration value="Directorate Support Division"/>
          <xsd:enumeration value="Early Years"/>
          <xsd:enumeration value="EarlyYearsExtendedSchoolsandSpec"/>
          <xsd:enumeration value="Eastern Territory"/>
          <xsd:enumeration value="Education Bill"/>
          <xsd:enumeration value="Education Funding Group"/>
          <xsd:enumeration value="Education Standards DST"/>
          <xsd:enumeration value="Education Strategy, Performance and Analysis Group"/>
          <xsd:enumeration value="Educational Psychology"/>
          <xsd:enumeration value="EFA Capital Planning and Funding"/>
          <xsd:enumeration value="EFA Capital Programme Advice and Support"/>
          <xsd:enumeration value="EFA Capital Programme Delivery"/>
          <xsd:enumeration value="EFA Capital Programme Delivery-Academies"/>
          <xsd:enumeration value="EFA Capital Programme Delivery-Academies-LAs"/>
          <xsd:enumeration value="EFA Capital Programme Delivery-BSF"/>
          <xsd:enumeration value="EFA Corporate Finance"/>
          <xsd:enumeration value="Efficiency Controls"/>
          <xsd:enumeration value="EO Policy Development Programme"/>
          <xsd:enumeration value="ESD Correspondence Team"/>
          <xsd:enumeration value="ESIG Director's Office&#10;  568"/>
          <xsd:enumeration value="Evaluation and Performance"/>
          <xsd:enumeration value="Exams Delivery Support Unit"/>
          <xsd:enumeration value="External Assurance"/>
          <xsd:enumeration value="Families Group"/>
          <xsd:enumeration value="FCSD Director General Office"/>
          <xsd:enumeration value="Finance and Commercial Group"/>
          <xsd:enumeration value="Finance Group"/>
          <xsd:enumeration value="Financial Delivery and Risk Assurance Division"/>
          <xsd:enumeration value="Flexible Directorate Support"/>
          <xsd:enumeration value="Former SCYPG"/>
          <xsd:enumeration value="Free Schools Group"/>
          <xsd:enumeration value="Funding Allocations and Performance Division"/>
          <xsd:enumeration value="G CLOUD"/>
          <xsd:enumeration value="Get IT"/>
          <xsd:enumeration value="Health and Safety"/>
          <xsd:enumeration value="IAU DST Workplace"/>
          <xsd:enumeration value="IFD Directorate Support Team"/>
          <xsd:enumeration value="IFD Recruitment"/>
          <xsd:enumeration value="IFD Resourcing and Operations"/>
          <xsd:enumeration value="ImprovingInformationSharingandMa"/>
          <xsd:enumeration value="Information Asset Centre"/>
          <xsd:enumeration value="Infracstructure Programme"/>
          <xsd:enumeration value="Internal Audit Unit"/>
          <xsd:enumeration value="International Business Unit"/>
          <xsd:enumeration value="Intranet Workplace"/>
          <xsd:enumeration value="Item Bank Test Area"/>
          <xsd:enumeration value="IWP Training"/>
          <xsd:enumeration value="IWP Workplace"/>
          <xsd:enumeration value="Joint International Unit"/>
          <xsd:enumeration value="Knowledge and Records Management Testbed"/>
          <xsd:enumeration value="LAO Support Team Workplace"/>
          <xsd:enumeration value="LAO Workplace"/>
          <xsd:enumeration value="LAT"/>
          <xsd:enumeration value="Library"/>
          <xsd:enumeration value="Licensing"/>
          <xsd:enumeration value="LSD Future Delivery Capita"/>
          <xsd:enumeration value="Media Relations"/>
          <xsd:enumeration value="Membership"/>
          <xsd:enumeration value="Meta Team"/>
          <xsd:enumeration value="MIS Data Unit"/>
          <xsd:enumeration value="Models and Partnerships"/>
          <xsd:enumeration value="National College Directors"/>
          <xsd:enumeration value="National College Facilities Management"/>
          <xsd:enumeration value="National College Internal Communications"/>
          <xsd:enumeration value="National Data Analysis and Systems Programme"/>
          <xsd:enumeration value="NC Commercial"/>
          <xsd:enumeration value="NC Early Years"/>
          <xsd:enumeration value="Northern Territory"/>
          <xsd:enumeration value="Off Site Storage"/>
          <xsd:enumeration value="Office 2010 Test"/>
          <xsd:enumeration value="OLASS"/>
          <xsd:enumeration value="People and Change"/>
          <xsd:enumeration value="People and Change Task and Finish Group"/>
          <xsd:enumeration value="Planning and Allocations"/>
          <xsd:enumeration value="Primary School Leadership"/>
          <xsd:enumeration value="Private Office"/>
          <xsd:enumeration value="Private Office DST"/>
          <xsd:enumeration value="Process Review"/>
          <xsd:enumeration value="Programme and Project Management"/>
          <xsd:enumeration value="Programme Management"/>
          <xsd:enumeration value="Provision Advisory Group"/>
          <xsd:enumeration value="Purchase to Pay"/>
          <xsd:enumeration value="QTS and Inductions"/>
          <xsd:enumeration value="Qualifications and Participation Group"/>
          <xsd:enumeration value="Quality and Priorities Division"/>
          <xsd:enumeration value="Recruitment Coordinators"/>
          <xsd:enumeration value="Regional Teams"/>
          <xsd:enumeration value="Regulation"/>
          <xsd:enumeration value="Research and Development"/>
          <xsd:enumeration value="Safeguarding Group"/>
          <xsd:enumeration value="Sandpit 2 Workplace"/>
          <xsd:enumeration value="Sandpit Workplace"/>
          <xsd:enumeration value="School Business Management"/>
          <xsd:enumeration value="School Performance Data Programme"/>
          <xsd:enumeration value="School Resources Group"/>
          <xsd:enumeration value="School Standards Group"/>
          <xsd:enumeration value="School to School Support"/>
          <xsd:enumeration value="Schools Analysis and Research Division"/>
          <xsd:enumeration value="Schools Intervention"/>
          <xsd:enumeration value="Sector CIO Council"/>
          <xsd:enumeration value="Sheffield Site Leadership Group"/>
          <xsd:enumeration value="Social Work"/>
          <xsd:enumeration value="Sodexo"/>
          <xsd:enumeration value="Southern Territory"/>
          <xsd:enumeration value="Specialist Programmes LLDD"/>
          <xsd:enumeration value="STA Commercial"/>
          <xsd:enumeration value="STA Delivery"/>
          <xsd:enumeration value="STA External Collaboration"/>
          <xsd:enumeration value="STA Operations"/>
          <xsd:enumeration value="STA Test Admin"/>
          <xsd:enumeration value="STA Workstream - Governance"/>
          <xsd:enumeration value="Standards and Qualifications"/>
          <xsd:enumeration value="Strategic Analysis Research and Policy Impact Group"/>
          <xsd:enumeration value="Strategy and Performance Group"/>
          <xsd:enumeration value="Supply"/>
          <xsd:enumeration value="Supply and Recruit Division"/>
          <xsd:enumeration value="Supporting Delivery Group"/>
          <xsd:enumeration value="Supporting School Improvement Division 1"/>
          <xsd:enumeration value="Supporting School Improvement Division 2"/>
          <xsd:enumeration value="Supporting School Improvement Division 3"/>
          <xsd:enumeration value="System Reform Group"/>
          <xsd:enumeration value="Systems Development"/>
          <xsd:enumeration value="TA Directorate Support"/>
          <xsd:enumeration value="Talent Task Force"/>
          <xsd:enumeration value="Test Development"/>
          <xsd:enumeration value="Western Territory"/>
          <xsd:enumeration value="Workforce Group"/>
          <xsd:enumeration value="Workplace Help and Guidance"/>
          <xsd:enumeration value="YAGFA-JAGFA"/>
          <xsd:enumeration value="Young People Analysis Division"/>
          <xsd:enumeration value="Young People FACT Team"/>
          <xsd:enumeration value="Young People Resource Group"/>
          <xsd:enumeration value="Young Peoples Programme"/>
          <xsd:enumeration value="YP Funding Formula Review"/>
          <xsd:enumeration value="YPD DST"/>
        </xsd:restriction>
      </xsd:simpleType>
    </xsd:element>
    <xsd:element name="Team" ma:index="28" nillable="true" ma:displayName="Team" ma:default="" ma:hidden="true" ma:internalName="Team">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0F3E4-C194-4DDE-B06A-07B80437D427}">
  <ds:schemaRefs>
    <ds:schemaRef ds:uri="http://schemas.microsoft.com/sharepoint/v3/contenttype/forms"/>
  </ds:schemaRefs>
</ds:datastoreItem>
</file>

<file path=customXml/itemProps2.xml><?xml version="1.0" encoding="utf-8"?>
<ds:datastoreItem xmlns:ds="http://schemas.openxmlformats.org/officeDocument/2006/customXml" ds:itemID="{137B90BB-F2A7-4536-AA1B-C16EAC7A2C34}">
  <ds:schemaRefs>
    <ds:schemaRef ds:uri="http://schemas.microsoft.com/office/2006/metadata/customXsn"/>
  </ds:schemaRefs>
</ds:datastoreItem>
</file>

<file path=customXml/itemProps3.xml><?xml version="1.0" encoding="utf-8"?>
<ds:datastoreItem xmlns:ds="http://schemas.openxmlformats.org/officeDocument/2006/customXml" ds:itemID="{8BB15CC5-F35D-426A-B2A1-3EC0E09ACE91}">
  <ds:schemaRef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D6625C5F-2F7B-444F-81A5-D4EA3C06D952"/>
    <ds:schemaRef ds:uri="http://schemas.microsoft.com/sharepoint/v3"/>
    <ds:schemaRef ds:uri="http://www.w3.org/XML/1998/namespace"/>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BF3D26ED-BAF4-4219-B0AB-B4E2F04B4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625C5F-2F7B-444F-81A5-D4EA3C06D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244C1A-D15A-42BE-AC38-D53AB7A4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B3EF3229</Template>
  <TotalTime>2</TotalTime>
  <Pages>18</Pages>
  <Words>5273</Words>
  <Characters>30062</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Final 16 19 VQ reform consultation</vt:lpstr>
    </vt:vector>
  </TitlesOfParts>
  <Company>DfE</Company>
  <LinksUpToDate>false</LinksUpToDate>
  <CharactersWithSpaces>35265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16 19 VQ reform consultation</dc:title>
  <dc:creator>OLADINNI, Glenys</dc:creator>
  <cp:lastModifiedBy>EDGE, Carole</cp:lastModifiedBy>
  <cp:revision>2</cp:revision>
  <cp:lastPrinted>2013-02-12T09:46:00Z</cp:lastPrinted>
  <dcterms:created xsi:type="dcterms:W3CDTF">2013-03-26T10:35:00Z</dcterms:created>
  <dcterms:modified xsi:type="dcterms:W3CDTF">2013-03-26T10:35:00Z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0x0101000706A8051BDDA64C90F797109D7E80C9003147FEFE395F1E4CABD638F7A3BAF280004C8D0B7B7E612B46A0B9F821F0258965</vt:lpwstr>
  </property>
</Properties>
</file>